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56024-2025 i Norrtälje kommun</w:t>
      </w:r>
    </w:p>
    <w:p>
      <w:r>
        <w:t>Detta klagomål behandlar höga naturvärden i avverkningsanmälan A 56024-2025 i Norrtälje kommun som inkom 2025-11-12 och omfattar 10,6 ha.</w:t>
      </w:r>
    </w:p>
    <w:p>
      <w:pPr>
        <w:pStyle w:val="Caption"/>
      </w:pPr>
      <w:r>
        <w:drawing>
          <wp:inline xmlns:a="http://schemas.openxmlformats.org/drawingml/2006/main" xmlns:pic="http://schemas.openxmlformats.org/drawingml/2006/picture">
            <wp:extent cx="5486400" cy="4517325"/>
            <wp:docPr id="1" name="Picture 1"/>
            <wp:cNvGraphicFramePr>
              <a:graphicFrameLocks noChangeAspect="1"/>
            </wp:cNvGraphicFramePr>
            <a:graphic>
              <a:graphicData uri="http://schemas.openxmlformats.org/drawingml/2006/picture">
                <pic:pic>
                  <pic:nvPicPr>
                    <pic:cNvPr id="0" name="A 56024-2025 karta.png"/>
                    <pic:cNvPicPr/>
                  </pic:nvPicPr>
                  <pic:blipFill>
                    <a:blip r:embed="rId16"/>
                    <a:stretch>
                      <a:fillRect/>
                    </a:stretch>
                  </pic:blipFill>
                  <pic:spPr>
                    <a:xfrm>
                      <a:off x="0" y="0"/>
                      <a:ext cx="5486400" cy="4517325"/>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6663466, E 709262 i SWEREF 99 TM.</w:t>
      </w:r>
    </w:p>
    <w:p>
      <w:r>
        <w:t>I och inom 24 meter från avverkningsanmälan finns fynd av 29 naturvårdsarter, varav 20 är rödlistade, 12 är fridlysta, 4 är typiska (T) och 4 är signalarter (S): bredbrämad bastardsvärmare (VU), bredgentiana (VU, §8), brunfläckig pärlemorfjäril (VU), fältgentiana (VU), hällebräcka (VU, §7), mindre bastardsvärmare (VU), sexfläckig bastardsvärmare (VU), violettkantad guldvinge (VU), adam och eva (NT, §8), almsnabbvinge (NT), backklöver (NT), gulsparv (NT, §4), jungfrulin (NT), klasefibbla (NT), mindre tåtelsmygare (NT), månlåsbräken (NT), solvända (NT), vanlig backsmörblomma (NT), vårstarr (NT), ängsnätfjäril (NT), grönkulla (S, T, §8), nästrot (S, §8), skogsknipprot (S, T, §8), tvåblad (S, §8), blåsippa (T, §9), kattfot (T), brudsporre (§8), nattviol (§8) och gullviva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Grönkulla (§8) </w:t>
      </w:r>
      <w:r>
        <w:t xml:space="preserve">är typisk art för </w:t>
      </w:r>
      <w:r>
        <w:rPr>
          <w:i/>
        </w:rPr>
        <w:t xml:space="preserve">9040 Fjällbjörkskog, 9070 Trädklädd betesmark, 6170 Alpina kalkgräsmarker, 6520 Höglänta slåtterängar </w:t>
      </w:r>
      <w:r>
        <w:t>och</w:t>
      </w:r>
      <w:r>
        <w:rPr>
          <w:i/>
        </w:rPr>
        <w:t xml:space="preserve"> 6210 Kalkgräsmarker </w:t>
      </w:r>
      <w:r>
        <w:t>(SLU Artdatabanken, 2025).</w:t>
      </w:r>
    </w:p>
    <w:p>
      <w:r>
        <w:rPr>
          <w:b/>
        </w:rPr>
        <w:t>Skogsknipprot (§8)</w:t>
      </w:r>
      <w:r>
        <w:t xml:space="preserve"> är fridlyst enligt 8§ artskyddsförordningen och typisk art för </w:t>
      </w:r>
      <w:r>
        <w:rPr>
          <w:i/>
        </w:rPr>
        <w:t>9050 Näringsrik granskog</w:t>
      </w:r>
      <w:r>
        <w:t xml:space="preserve"> (SLU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 xml:space="preserve">Kattfot </w:t>
      </w:r>
      <w:r>
        <w:t xml:space="preserve">är typisk art för </w:t>
      </w:r>
      <w:r>
        <w:rPr>
          <w:i/>
        </w:rPr>
        <w:t>9060 Åsbarrskog, 9070 Trädklädd betesmark, 6530 Lövängar, 6170 Alpina kalkgräsmarker, 6230 Stagg-gräsmarker, 6520 Höglänta slåtterängar, 1610 Åsöar i Östersjön, 4030 Torra hedar, 5130 Enbuskmarker, 6270 Silikatgräsmarker, 6510 Slåtterängar i låglandet</w:t>
      </w:r>
      <w:r>
        <w:t xml:space="preserve"> och </w:t>
      </w:r>
      <w:r>
        <w:rPr>
          <w:i/>
        </w:rPr>
        <w:t>8230 Hällmarkstorräng</w:t>
      </w:r>
      <w:r>
        <w:t>. Kattfot är värdväxt för bland annat de rödlistade fjärilarna kattfotsfjädermott (VU), kattfotssmåstävmal (VU), kattfotssäckmal (VU) och leverplattmal (VU) (SLU Artdatabanken, 2026).</w:t>
      </w:r>
    </w:p>
    <w:p>
      <w:r>
        <w:rPr>
          <w:b/>
        </w:rPr>
        <w:t>Gullviva (§9)</w:t>
      </w:r>
      <w:r>
        <w:t xml:space="preserve"> är värdväxt för bland annat den rödlistade och sällsynta fjärilen gullvivefjäril (VU) samt typisk art för </w:t>
      </w:r>
      <w:r>
        <w:rPr>
          <w:i/>
        </w:rPr>
        <w:t xml:space="preserve">9070 Trädklädd betesmark, 6530 Lövängar, 6510 Slåtterängar i låglandet </w:t>
      </w:r>
      <w:r>
        <w:t>och</w:t>
      </w:r>
      <w:r>
        <w:rPr>
          <w:i/>
        </w:rPr>
        <w:t xml:space="preserve"> 6270 Silikatgräsmarker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6.4.1 </w:t>
      </w:r>
      <w:r>
        <w:t>Följande biotoper undantas från alla skogsbruksåtgärder, förutom åtgärder påkallade för att bevara eller främja biotopens naturliga eller hävdbetingade biologiska mångfald:</w:t>
      </w:r>
    </w:p>
    <w:p>
      <w:pPr>
        <w:ind w:left="357"/>
      </w:pPr>
      <w:r>
        <w:t>b) nyckelbiotoper enligt Skogsstyrelsens definition och metod (1995)</w:t>
      </w:r>
    </w:p>
    <w:p>
      <w:pPr>
        <w:pStyle w:val="ListBullet"/>
      </w:pPr>
      <w:r>
        <w:rPr>
          <w:b/>
          <w:i/>
        </w:rPr>
        <w:t xml:space="preserve">Kommentar: </w:t>
      </w:r>
      <w:r>
        <w:rPr>
          <w:i/>
        </w:rPr>
        <w:t>I det avverkningsanmälda skogsområdet har 24 rödlistade arter och signalarter påträffats. Detta ska jämföras med Skogsstyrelsens uppföljning 2017 av nyckelbiotoper som visade att man i genomsnitt hittar 20,6 olika rödlistade arter och signalarter i en nyckelbiotop (Wijk, S. 2017. Biologisk mångfald i nyckelbiotoper – Resultat från inventeringen “Uppföljning biologisk mångfald” 2009–2015. Rapport 4/2017 Skogsstyrelsen, Jönköping).</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29 naturvårdsarter varav 20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