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250-2025 i Norrtälje kommun</w:t>
      </w:r>
    </w:p>
    <w:p>
      <w:r>
        <w:t>Denna tillsynsbegäran behandlar höga naturvärden i samrådsanmälan S 250-2025 i Norrtälje kommun som inkom 2025-01-27 och omfattar 0,3 ha.</w:t>
      </w:r>
    </w:p>
    <w:p>
      <w:pPr>
        <w:pStyle w:val="Caption"/>
      </w:pPr>
      <w:r>
        <w:drawing>
          <wp:inline xmlns:a="http://schemas.openxmlformats.org/drawingml/2006/main" xmlns:pic="http://schemas.openxmlformats.org/drawingml/2006/picture">
            <wp:extent cx="5486400" cy="4857141"/>
            <wp:docPr id="1" name="Picture 1"/>
            <wp:cNvGraphicFramePr>
              <a:graphicFrameLocks noChangeAspect="1"/>
            </wp:cNvGraphicFramePr>
            <a:graphic>
              <a:graphicData uri="http://schemas.openxmlformats.org/drawingml/2006/picture">
                <pic:pic>
                  <pic:nvPicPr>
                    <pic:cNvPr id="0" name="S 250-2025 karta.png"/>
                    <pic:cNvPicPr/>
                  </pic:nvPicPr>
                  <pic:blipFill>
                    <a:blip r:embed="rId16"/>
                    <a:stretch>
                      <a:fillRect/>
                    </a:stretch>
                  </pic:blipFill>
                  <pic:spPr>
                    <a:xfrm>
                      <a:off x="0" y="0"/>
                      <a:ext cx="5486400" cy="485714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6643545, E 707887 i SWEREF 99 TM.</w:t>
      </w:r>
    </w:p>
    <w:p>
      <w:r>
        <w:t>I samrådsanmälan finns fynd av 8 naturvårdsarter, varav 2 är rödlistade, 1 är fridlyst, 8 är typiska (T) och 5 är signalarter (S): grynig filtlav (NT, T), vårärt (NT, T), fällmossa (S, T), guldlockmossa (S, T), liten baronmossa (S, T), piskbaronmossa (S,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grynig filtlav (NT, T), vårärt (NT, T), fällmossa (S, T), guldlockmossa (S, T), liten baronmossa (S, T), piskbaronmossa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