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4098-2022 i Sigtuna kommun</w:t>
      </w:r>
    </w:p>
    <w:p>
      <w:r>
        <w:t>Denna tillsynsbegäran behandlar höga naturvärden i samrådsanmälan S 4098-2022 i Sigtuna kommun som inkom 2022-07-19 och omfattar 210,3 ha.</w:t>
      </w:r>
    </w:p>
    <w:p>
      <w:pPr>
        <w:pStyle w:val="Caption"/>
      </w:pPr>
      <w:r>
        <w:drawing>
          <wp:inline xmlns:a="http://schemas.openxmlformats.org/drawingml/2006/main" xmlns:pic="http://schemas.openxmlformats.org/drawingml/2006/picture">
            <wp:extent cx="5486400" cy="4726224"/>
            <wp:docPr id="1" name="Picture 1"/>
            <wp:cNvGraphicFramePr>
              <a:graphicFrameLocks noChangeAspect="1"/>
            </wp:cNvGraphicFramePr>
            <a:graphic>
              <a:graphicData uri="http://schemas.openxmlformats.org/drawingml/2006/picture">
                <pic:pic>
                  <pic:nvPicPr>
                    <pic:cNvPr id="0" name="S 4098-2022 karta.png"/>
                    <pic:cNvPicPr/>
                  </pic:nvPicPr>
                  <pic:blipFill>
                    <a:blip r:embed="rId16"/>
                    <a:stretch>
                      <a:fillRect/>
                    </a:stretch>
                  </pic:blipFill>
                  <pic:spPr>
                    <a:xfrm>
                      <a:off x="0" y="0"/>
                      <a:ext cx="5486400" cy="472622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6607292, E 660589 i SWEREF 99 TM.</w:t>
      </w:r>
    </w:p>
    <w:p>
      <w:r>
        <w:t>I och inom 22 meter från samrådsanmälan finns fynd av 174 naturvårdsarter, varav 104 är rödlistade, 72 är fridlysta, 50 är typiska (T) och 37 är signalarter (S): ortolansparv (CR, §4), tungticka (CR), almlav (EN, T), almrostöra (EN), ask (EN), backsvala (EN, §4), blekskaftad nållav (EN), gulhämpling (EN, §4), havstrut (EN, §4), mörk lundlav (EN), prakttagging (EN, T), savlundlav (EN), sommargylling (EN, §4), årta (EN, §4), allékantlav (VU), berguv (VU, §4), blek kraterlav (VU), brun lundlav (VU), brunskaftad blekspik (VU, T), Caloplaca monacensis (VU), ekspik (VU), gräshoppsångare (VU, §4), gråtrut (VU, §4), grönfink (VU, §4), gulvit blekspik (VU, T), hussvala (VU, §4), klosterlav (VU), kraterorangelav (VU), liten blekspik (VU, T), mindre bastardsvärmare (VU), mörk kraterlav (VU), sexfläckig bastardsvärmare (VU), stare (VU, §4), stiftknopplav (VU), tofsvipa (VU, §4), tornseglare (VU, §4), trastsångare (VU, §4), trubbdaggkåpa (VU), trubbig brosklav (VU), alfågel (NT, §4), backklöver (NT), bivråk (NT, §4), björktrast (NT, §4), blekticka (NT, T), drillsnäppa (NT, §4), duvhök (NT, §4), ekticka (NT, T), enkelbeckasin (NT, §4), entita (NT, T, §4), falsk allékrimmerlav (NT), flodsångare (NT, §4), gammelekslav (NT, T), grentaggsvamp (NT), grynig filtlav (NT, T), grönsångare (NT, §4), gul dropplav (NT), gulprickig vaxskivling (NT), gulsparv (NT, §4), göktyta (NT, §4), hjälmbrosklav (NT), jungfrulin (NT), järnsparv (NT, §4), kricka (NT, §4), kungsörn (NT, §4), ladusvala (NT, §4), lavsnabblöpare (NT), lundalmsdvärgmal (NT), lunglav (NT, T), mindre hackspett (NT, T, §4), munkspindling (NT), oxtungssvamp (NT), parasitsotlav (NT), parknål (NT), pilblad (NT), pilfotsspindling (NT), reliktbock (NT, T), rosa skärelav (NT, T), rosenfink (NT, §4), rödbrun blekspik (NT, T), rödvingetrast (NT, §4), rörsångare (NT, §4), saffransspindling (NT), scharlakansvaxing (NT), silltrut (NT, §4), skeppsvarvsfluga (NT), skogsalmsdvärgmal (NT), skorpgelélav (NT), skrattmås (NT, §4), skuggorangelav (NT), skumticka (NT), slät fjällav (NT), solvända (NT), sparvuggla (NT, §4), svartöra (NT, T), sädesärla (NT, §4), tallticka (NT, T), talltita (NT, §4), vattenfräne (NT), vippärt (NT, T), vårärt (NT, T), Arthonia farinacea (DD), Biatora hemipolia (DD), blemlavsklotter (DD), frostig asplav (DD), blanksvart trämyra (S), brun nållav (S), brun purpurspindling (S), dvärgtufs (S), fällmossa (S, T), granbarkgnagare (S, T), grov baronmossa (S, T), grovticka (S, T), grå skärelav (S), grön sköldmossa (S, T, §8), guldlockmossa (S, T), gulnål (S, T), gulpudrad spiklav (S, T), hasselticka (S, T), kornig nållav (S, T), kransrams (S, T), liten baronmossa (S, T), lundbräsma (S), läderskål (S), lönnlav (S), nästrot (S, §8), piskbaronmossa (S, T), rikfruktig blemlav (S), rostfläck (S, T), slät lönnlav (S), sotlav (S, T), stenporella (S, T), stor aspticka (S, T), svart trolldruva (S, T), tibast (S, T), traslav (S), trubbfjädermossa (S, T), trädporella (S, T), tvåblad (S, §8), underviol (S, T), vitskivlav (S), vätteros (S, T), blåsippa (T, §9), gråspett (T, §4), mindre flugsnappare (T, §4), mörk lungört (T), spillkråka (T, §4), tallbit (T, §4), vildkaprifol (T), vitsippa (T), buskskvätta (§4), fiskgjuse (§4), fjällvråk (§4), gröngöling (§4), grönsiska (§4), havsörn (§4), kråka (§4), kungsfågel (§4), näktergal (§4), salskrake (§4), skogsduva (§4), svartvit flugsnappare (§4), sävsparv (§4), sångsvan (§4), trana (§4), trädlärka (§4), törnskata (§4), ärtsångare (§4), kopparödla (§6), skogsödla (§6), vanlig groda (§6), vanlig padda (§6), vanlig snok (§6),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Tungticka (CR)</w:t>
      </w:r>
      <w:r>
        <w:t xml:space="preserve"> är en akut hotad vedsvamp som växer på gamla grova ekar i eklandskap där det föreligger en lång kontinuitet av grova ekar. Värdträd och annan grov ek på fyndplatserna måste skyddas. Olikåldriga ekbestånd med grova träd, särskilt i hagmarks- men även i skogsmiljö, måste bevaras i ökad utsträckning. Arten är placerad högst upp i Skogsstyrelsens värdepyramid för bedömning av skog med höga naturvärden och globalt rödlistad som sårbar (VU) vilket innebär att Sverige har ett internationellt ansvar för arten (SLU Artdatabanken, 2026; IUCN, 2021; Nitare &amp; Skogsstyrelsen, 2019).</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Blekskaftad nållav (EN)</w:t>
      </w:r>
      <w:r>
        <w:t xml:space="preserve"> är en starkt hotad art som i Mellansverige förekommer på gamla ädellövträd (ofta på tidigare hamlade träd), främst på gamla ekar, almar och lönnar i ganska öppna områden av parklandskapstyp. I Jämtland växer den på asp, alm, sälg och björk på i gamla lövbrännor, fuktig och luckig granskog med gamla lövträd och i sydbranter. Växer alltid på mycket gamla och grova träd. Samtliga lokaler har en hög luftfuktighet, lång trädkontinuitet och innehåller ofta flera andra rödlistade lavar. Samtliga lokaler måste skyddas. På lokalerna är det viktigt att träd tillåts bli så gamla att de kan utgöra substrat för blekskaftad nållav och att lövträdsandelen är hög. Blekskaftad nållav känns igen på de kortskaftade knappnålsliknande apothecierna med en vit pruina, att skaftet är ljust i nedre delen och att excipulum är flikat i översta delen (SLU Artdatabanken, 2025).</w:t>
      </w:r>
    </w:p>
    <w:p>
      <w:r>
        <w:rPr>
          <w:b/>
        </w:rPr>
        <w:t>Mörk lundlav (EN)</w:t>
      </w:r>
      <w:r>
        <w:t xml:space="preserve"> är en starkt hotad art som växer i gläntor i skogar och parker med lång trädkontinuitet på gamla ädellövträd, främst alm, ask och lönn. Det främsta hotet utgör skogsbruk och avverkning av gamla träd. Även almsjukan är ett hot. Skydda alla aktuella lokaler (SLU Artdatabanken, 2026).</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Brun lundlav (VU)</w:t>
      </w:r>
      <w:r>
        <w:t xml:space="preserve"> växer på slätbarkiga ädellövträd och på asp i blandad ädellövskog eller blandskog. Lokalerna har ofta lång trädkontinuitet och luftfuktigheten är hög. Arten hotas av skogsbruk samt av igenväxning p.g.a. minskad hävd. Även almsjukan och askskottssjukan utgör ett hot. Skydda åtminstone de rikligaste lokalerna. Öka hävden på igenvuxen mark och undvik produktionsinriktat skogsbruk på och i närheten av lokaler med arten (SLU Artdatabanken, 2026).</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Stiftknopplav (VU)</w:t>
      </w:r>
      <w:r>
        <w:t xml:space="preserve"> växer på glest stående, mycket gamla ekar i områden med lång trädkontinuitet och sannolikt även hög luftfuktighet. Arten påverkas negativt av brist på kontinuitetsskog och antalet individer bedöms vara lägre än gränsvärdet för sårbar (VU)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Trubbig brosklav (VU)</w:t>
      </w:r>
      <w:r>
        <w:t xml:space="preserve"> är funnen från Öland upp till Lule Lappmark men aktuell status är något oklar. I södra och mellersta Sverige är arten uppenbarligen gynnad av dammimpregnering där den växer på gamla lövträd, främst i parker, kyrkogårdar, betesmarker och vid vägkanter. På Gotland växer den huvudsakligen på tunna grangrenar i barrskogar dominerade av gran. I norra Sverige är ekologin sämre känd men den förekommer på träd intill vattenfall. Arten hotas i södra och mellersta Sverige av avverkning av värdträd. Upphörande dammimpregnering vid asfaltering av grusvägar intill lokalerna är också ett hot. Lokalerna i norra Sverige bör lämnas för fri utveckling (SLU Artdatabanken, 2026).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Lavsnabblöpare (NT)</w:t>
      </w:r>
      <w:r>
        <w:t xml:space="preserve"> är ett spindeldjur som är påträffad från Småland och norrut längs Norrlandskusten. Lever troligen bland lavar på träd och berg gärna nära vatten. Fynden pekar på preferens för gles blandskog kanske med inslag av ädellöv i sydvända branter nära vatten. Då arten verkar vara beroende av träd med rikligt med lavar är minskningen av lavar oroväckande. En minskning av populationen pågår eller förväntas ske. Minskningen avser kvalitén på artens habitat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Munkspindling (NT) </w:t>
      </w:r>
      <w:r>
        <w:t>är en sällsynt svamp som bildar mykorrhiza med ek och hassel, sällsynt även avenbok, lind och bok i ädellövskog, hässlen, löväng och betad hagmark på kalkrik mark. Arten hotas av förändring av miljön på växtplatserna, t.ex. genom gallring, avverkning eller omföring av lövskog till barrskog. Oskyddade lokaler bör säkerställas eftersom alla lokaler är hemvist även för andra sällsynta svampar. Munkspindling är placerad högst upp i Skogsstyrelsens värdepyramid för bedömning av skog med höga naturvärden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Parasitsotlav (NT)</w:t>
      </w:r>
      <w:r>
        <w:t xml:space="preserve"> är funnen på grova, ofta halvöppet stående, ädellövträd, oftast ek men även på ask och lönn. Den växer som parasit på olika skorplavar, nästan alltid på bålen av</w:t>
      </w:r>
      <w:r>
        <w:rPr>
          <w:i/>
        </w:rPr>
        <w:t xml:space="preserve"> Pertusaria</w:t>
      </w:r>
      <w:r>
        <w:t>-arter</w:t>
      </w:r>
      <w:r>
        <w:rPr>
          <w:i/>
        </w:rPr>
        <w:t xml:space="preserve"> </w:t>
      </w:r>
      <w:r>
        <w:t>och oftast på hagelporlav</w:t>
      </w:r>
      <w:r>
        <w:rPr>
          <w:i/>
        </w:rPr>
        <w:t xml:space="preserve"> P. coccodes</w:t>
      </w:r>
      <w:r>
        <w:t>. Hävdade marker där arten förekommer bör fortsätta att hävdas. Spara och friställ gamla grova ädellövträd (SLU Artdatabanken, 2026).</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 xml:space="preserve">Pilfotsspindling (NT) </w:t>
      </w:r>
      <w:r>
        <w:t>är en mycket sällsynt art som bildar mykorrhiza med främst ek, sällsynt även hassel, bok och lind i ängsekskog, hässlen, löväng och blandad ädellövskog på kalkrik mark. Kalavverkning och gallring är de främsta hoten. Arten är så sällsynt att även mindre ingrepp i miljön på de fläckar där den förekommer, t.ex. gallring som medför att mykorrhiza-partnern avlägsnas, kan innebära att den försvinner. Om arten påträffas utanför naturreservat bör även dessa platser säkerställas. Arten kan långsiktigt gynnas av att fler områden med ädellövskog på kalkrik mark bevaras och att skogsbruk där helt undviks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i/>
        </w:rPr>
        <w:t xml:space="preserve">Biatora hemipolia </w:t>
      </w:r>
      <w:r>
        <w:rPr>
          <w:b/>
        </w:rPr>
        <w:t>(DD)</w:t>
      </w:r>
      <w:r>
        <w:t xml:space="preserve"> är noterad på ett 20-tal lokaler på framförallt ädellövträd. Faktaunderlaget bedöms vara otillräckligt för att avgöra vilken av de olika rödlistningskategorierna som är mest trolig (SLU Artdatabanken, 2026).</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r>
        <w:rPr>
          <w:b/>
        </w:rPr>
        <w:t>Frostig asplav (DD)</w:t>
      </w:r>
      <w:r>
        <w:t xml:space="preserve"> växer på slätbarkiga träd (ask och rönn) i öppna skogar med hög luftfuktighet. Askskottssjuka är ett allvarligt hot, men även dränering av och avverkning på artens lokaler utgör hot. Bara ett fåtal av lokalerna är skyddade. Lokaler med arten bör skyddas. Avverkning och dränering av lokaler bör undvikas (SLU Artdatabanken, 2026).</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r>
        <w:rPr>
          <w:b/>
        </w:rPr>
        <w:t>Vitsippa</w:t>
      </w:r>
      <w:r>
        <w:t xml:space="preserve"> är typisk art för </w:t>
      </w:r>
      <w:r>
        <w:rPr>
          <w:i/>
        </w:rPr>
        <w:t xml:space="preserve">9040 Fjällbjörkskog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prakttagging (EN, T), brunskaftad blekspik (VU, T), gulvit blekspik (VU, T), liten blekspik (VU, T), blekticka (NT, T), ekticka (NT, T), entita (NT, T, §4), gammelekslav (NT, T), grynig filtlav (NT, T), lunglav (NT, T), mindre hackspett (NT, T, §4), reliktbock (NT, T), rosa skärelav (NT, T), rödbrun blekspik (NT, T), svartöra (NT, T), tallticka (NT, T), vippärt (NT, T), vårärt (NT, T), fällmossa (S, T), granbarkgnagare (S, T), grov baronmossa (S, T), grovticka (S, T), grön sköldmossa (S, T, §8), guldlockmossa (S, T), gulnål (S, T), gulpudrad spiklav (S, T), hasselticka (S, T), kornig nållav (S, T), kransrams (S, T), liten baronmossa (S, T), piskbaronmossa (S, T), rostfläck (S, T), sotlav (S, T), stenporella (S, T), stor aspticka (S, T), svart trolldruva (S, T), tibast (S, T), trubbfjädermossa (S, T), trädporella (S, T), underviol (S, T), vätteros (S, T), blåsippa (T, §9), gråspett (T, §4), mindre flugsnappare (T, §4), mörk lungört (T), spillkråka (T, §4), tallbit (T, §4), vildkaprifol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