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och inom 12 meter från avverkningsanmälan finns fynd av 7 naturvårdsarter, varav 4 är rödlistade, 6 är fridlysta och 1 är typisk (T): enkelbeckasin (NT, §4), gulsparv (NT, §4), järnsparv (NT, §4),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