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4098-2022 i Sigtuna kommun</w:t>
      </w:r>
    </w:p>
    <w:p>
      <w:r>
        <w:t>Detta klagomål behandlar höga naturvärden i samrådsanmälan S 4098-2022 i Sigtuna kommun som inkom 2022-07-19 och omfattar 210,3 ha.</w:t>
      </w:r>
    </w:p>
    <w:p>
      <w:pPr>
        <w:pStyle w:val="Caption"/>
      </w:pPr>
      <w:r>
        <w:drawing>
          <wp:inline xmlns:a="http://schemas.openxmlformats.org/drawingml/2006/main" xmlns:pic="http://schemas.openxmlformats.org/drawingml/2006/picture">
            <wp:extent cx="5486400" cy="4726224"/>
            <wp:docPr id="1" name="Picture 1"/>
            <wp:cNvGraphicFramePr>
              <a:graphicFrameLocks noChangeAspect="1"/>
            </wp:cNvGraphicFramePr>
            <a:graphic>
              <a:graphicData uri="http://schemas.openxmlformats.org/drawingml/2006/picture">
                <pic:pic>
                  <pic:nvPicPr>
                    <pic:cNvPr id="0" name="S 4098-2022 karta.png"/>
                    <pic:cNvPicPr/>
                  </pic:nvPicPr>
                  <pic:blipFill>
                    <a:blip r:embed="rId16"/>
                    <a:stretch>
                      <a:fillRect/>
                    </a:stretch>
                  </pic:blipFill>
                  <pic:spPr>
                    <a:xfrm>
                      <a:off x="0" y="0"/>
                      <a:ext cx="5486400" cy="4726224"/>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6607292, E 660589 i SWEREF 99 TM.</w:t>
      </w:r>
    </w:p>
    <w:p>
      <w:r>
        <w:t>I och inom 22 meter från samrådsanmälan finns fynd av 174 naturvårdsarter, varav 104 är rödlistade, 72 är fridlysta, 50 är typiska (T) och 37 är signalarter (S): ortolansparv (CR, §4), tungticka (CR), almlav (EN, T), almrostöra (EN), ask (EN), backsvala (EN, §4), blekskaftad nållav (EN), gulhämpling (EN, §4), havstrut (EN, §4), mörk lundlav (EN), prakttagging (EN, T), savlundlav (EN), sommargylling (EN, §4), årta (EN, §4), allékantlav (VU), berguv (VU, §4), blek kraterlav (VU), brun lundlav (VU), brunskaftad blekspik (VU, T), Caloplaca monacensis (VU), ekspik (VU), gräshoppsångare (VU, §4), gråtrut (VU, §4), grönfink (VU, §4), gulvit blekspik (VU, T), hussvala (VU, §4), klosterlav (VU), kraterorangelav (VU), liten blekspik (VU, T), mindre bastardsvärmare (VU), mörk kraterlav (VU), sexfläckig bastardsvärmare (VU), stare (VU, §4), stiftknopplav (VU), tofsvipa (VU, §4), tornseglare (VU, §4), trastsångare (VU, §4), trubbdaggkåpa (VU), trubbig brosklav (VU), alfågel (NT, §4), backklöver (NT), bivråk (NT, §4), björktrast (NT, §4), blekticka (NT, T), drillsnäppa (NT, §4), duvhök (NT, §4), ekticka (NT, T), enkelbeckasin (NT, §4), entita (NT, T, §4), falsk allékrimmerlav (NT), flodsångare (NT, §4), gammelekslav (NT, T), grentaggsvamp (NT), grynig filtlav (NT, T), grönsångare (NT, §4), gul dropplav (NT), gulprickig vaxskivling (NT), gulsparv (NT, §4), göktyta (NT, §4), hjälmbrosklav (NT), jungfrulin (NT), järnsparv (NT, §4), kricka (NT, §4), kungsörn (NT, §4), ladusvala (NT, §4), lavsnabblöpare (NT), lundalmsdvärgmal (NT), lunglav (NT, T), mindre hackspett (NT, T, §4), munkspindling (NT), oxtungssvamp (NT), parasitsotlav (NT), parknål (NT), pilblad (NT), pilfotsspindling (NT), reliktbock (NT, T), rosa skärelav (NT, T), rosenfink (NT, §4), rödbrun blekspik (NT, T), rödvingetrast (NT, §4), rörsångare (NT, §4), saffransspindling (NT), scharlakansvaxing (NT), silltrut (NT, §4), skeppsvarvsfluga (NT), skogsalmsdvärgmal (NT), skorpgelélav (NT), skrattmås (NT, §4), skuggorangelav (NT), skumticka (NT), slät fjällav (NT), solvända (NT), sparvuggla (NT, §4), svartöra (NT, T), sädesärla (NT, §4), tallticka (NT, T), talltita (NT, §4), vattenfräne (NT), vippärt (NT, T), vårärt (NT, T), Arthonia farinacea (DD), Biatora hemipolia (DD), blemlavsklotter (DD), frostig asplav (DD), blanksvart trämyra (S), brun nållav (S), brun purpurspindling (S), dvärgtufs (S), fällmossa (S, T), granbarkgnagare (S, T), grov baronmossa (S, T), grovticka (S, T), grå skärelav (S), grön sköldmossa (S, T, §8), guldlockmossa (S, T), gulnål (S, T), gulpudrad spiklav (S, T), hasselticka (S, T), kornig nållav (S, T), kransrams (S, T), liten baronmossa (S, T), lundbräsma (S), läderskål (S), lönnlav (S), nästrot (S, §8), piskbaronmossa (S, T), rikfruktig blemlav (S), rostfläck (S, T), slät lönnlav (S), sotlav (S, T), stenporella (S, T), stor aspticka (S, T), svart trolldruva (S, T), tibast (S, T), traslav (S), trubbfjädermossa (S, T), trädporella (S, T), tvåblad (S, §8), underviol (S, T), vitskivlav (S), vätteros (S, T), blåsippa (T, §9), gråspett (T, §4), mindre flugsnappare (T, §4), mörk lungört (T), spillkråka (T, §4), tallbit (T, §4), vildkaprifol (T), vitsippa (T), buskskvätta (§4), fiskgjuse (§4), fjällvråk (§4), gröngöling (§4), grönsiska (§4), havsörn (§4), kråka (§4), kungsfågel (§4), näktergal (§4), salskrake (§4), skogsduva (§4), svartvit flugsnappare (§4), sävsparv (§4), sångsvan (§4), trana (§4), trädlärka (§4), törnskata (§4), ärtsångare (§4), kopparödla (§6), skogsödla (§6), vanlig groda (§6), vanlig padda (§6), vanlig snok (§6),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Tungticka (CR)</w:t>
      </w:r>
      <w:r>
        <w:t xml:space="preserve"> är en akut hotad vedsvamp som växer på gamla grova ekar i eklandskap där det föreligger en lång kontinuitet av grova ekar. Värdträd och annan grov ek på fyndplatserna måste skyddas. Olikåldriga ekbestånd med grova träd, särskilt i hagmarks- men även i skogsmiljö, måste bevaras i ökad utsträckning. Arten är placerad högst upp i Skogsstyrelsens värdepyramid för bedömning av skog med höga naturvärden och globalt rödlistad som sårbar (VU) vilket innebär att Sverige har ett internationellt ansvar för arten (SLU Artdatabanken, 2026; IUCN, 2021; Nitare &amp; Skogsstyrelsen, 2019).</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Blekskaftad nållav (EN)</w:t>
      </w:r>
      <w:r>
        <w:t xml:space="preserve"> är en starkt hotad art som i Mellansverige förekommer på gamla ädellövträd (ofta på tidigare hamlade träd), främst på gamla ekar, almar och lönnar i ganska öppna områden av parklandskapstyp. I Jämtland växer den på asp, alm, sälg och björk på i gamla lövbrännor, fuktig och luckig granskog med gamla lövträd och i sydbranter. Växer alltid på mycket gamla och grova träd. Samtliga lokaler har en hög luftfuktighet, lång trädkontinuitet och innehåller ofta flera andra rödlistade lavar. Samtliga lokaler måste skyddas. På lokalerna är det viktigt att träd tillåts bli så gamla att de kan utgöra substrat för blekskaftad nållav och att lövträdsandelen är hög. Blekskaftad nållav känns igen på de kortskaftade knappnålsliknande apothecierna med en vit pruina, att skaftet är ljust i nedre delen och att excipulum är flikat i översta delen (SLU Artdatabanken, 2025).</w:t>
      </w:r>
    </w:p>
    <w:p>
      <w:r>
        <w:rPr>
          <w:b/>
        </w:rPr>
        <w:t>Mörk lundlav (EN)</w:t>
      </w:r>
      <w:r>
        <w:t xml:space="preserve"> är en starkt hotad art som växer i gläntor i skogar och parker med lång trädkontinuitet på gamla ädellövträd, främst alm, ask och lönn. Det främsta hotet utgör skogsbruk och avverkning av gamla träd. Även almsjukan är ett hot. Skydda alla aktuella lokaler (SLU Artdatabanken, 2026).</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Sommargylling (EN, §4)</w:t>
      </w:r>
      <w:r>
        <w:t xml:space="preserve"> är en starkt hotad art som häckar i närheten av gläntor och skogsbryn i områden med högstammig bok- eller tallskog, fuktig björkskog eller ekskog. Reviret omfattar 4–50 ha (medelvärde 17 ha) och gemensamt för häckningsmiljöerna är att trädskiktet är tätt med välutvecklad, komplex struktur och med solbelysta gläntor och kantzoner. Arten missgynnas av avverkning och gallring av äldre skog i lämpliga häckningsmiljöer. Undervegetationen vid sommargyllingarnas boplatser måste bevaras, liksom näraliggande våtmarker. Det är viktigt att häckningsplatserna inte utsätts för biotopförändringar eller direkta störningar (SLU Artdatabanken, 2024; Skogsstyrelsen, 2016).</w:t>
      </w:r>
    </w:p>
    <w:p>
      <w:r>
        <w:rPr>
          <w:b/>
        </w:rPr>
        <w:t>Allékantlav (VU)</w:t>
      </w:r>
      <w:r>
        <w:t xml:space="preserve"> är en skorplav som i norra Sverige växer på asp i barrskogar med hög luftfuktighet. I södra Sverige växer den på grova ädellövträd (oftast ask och alm) i ängs- och hagmark, i alléer, parker och på kyrkogårdar. Växtplatserna är öppna till halvöppna och ofta dammimpregnerade av en grusväg eller åker i närheten. I norra Sverige är avverkning av lövrika barrskogar och att det nyskapas få lövbrännor de största hoten. I södra och mellersta Sverige är det viktigt att nya lämpliga träd nyskapas i närheten av förekomster. Vidare bör dammimpregnering bibehållas om en sådan finns. I norra Sverige bör ett antal lokaler skyddas och avverkning av lövrika barrskogar undvikas (SLU Artdatabanken, 2025).</w:t>
      </w:r>
    </w:p>
    <w:p>
      <w:r>
        <w:rPr>
          <w:b/>
        </w:rPr>
        <w:t>Berguv (VU, §4)</w:t>
      </w:r>
      <w:r>
        <w:t xml:space="preserve"> är rödlistad som sårbar och upptagen i bilaga 1 EU:s fågeldirektiv. Den har minskat med 40 (20–50) % under de senaste 30 åren och antalet individer bedöms vara lägre än gränsvärdet för Sårbar (VU). Nuvarande bobranter och potentiella goda sådana i reserv måste skyddas från exploatering och skogsavverkningar. Omfattande avverkningar bör aldrig tillåtas ända in under bergroten och som minimum bör en ridå på cirka 50 meters bredd sparas. Kring markhäckningar behöver den kvarlämnade skyddszonen troligen vara minst 100 meter om arten ska finnas kvar. Berget med skyddskappa av träd bör inte heller isoleras från angränsande större skog genom helt kalavverkade omgivningar (SLU Artdatabanken, 2024; Skogsstyrelsen, 2016).</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Brun lundlav (VU)</w:t>
      </w:r>
      <w:r>
        <w:t xml:space="preserve"> växer på slätbarkiga ädellövträd och på asp i blandad ädellövskog eller blandskog. Lokalerna har ofta lång trädkontinuitet och luftfuktigheten är hög. Arten hotas av skogsbruk samt av igenväxning p.g.a. minskad hävd. Även almsjukan och askskottssjukan utgör ett hot. Skydda åtminstone de rikligaste lokalerna. Öka hävden på igenvuxen mark och undvik produktionsinriktat skogsbruk på och i närheten av lokaler med arten (SLU Artdatabanken, 2026).</w:t>
      </w:r>
    </w:p>
    <w:p>
      <w:r>
        <w:rPr>
          <w:b/>
        </w:rPr>
        <w:t>Brunskaftad blekspik (VU)</w:t>
      </w:r>
      <w:r>
        <w:t xml:space="preserve"> växer på grov bark av gamla lövträd, särskilt ask och alm, men även ek, lönn och lind. Den förekommer i park- och jordbrukslandskap i tämligen öppna lägen. I nedre Dalälvsområdet påträffas laven på ask i granrika klibbal–askkärr. Alla blekspikar av släktet </w:t>
      </w:r>
      <w:r>
        <w:rPr>
          <w:i/>
        </w:rPr>
        <w:t>Sclerophora</w:t>
      </w:r>
      <w:r>
        <w:t xml:space="preserve"> ​​​​är utmärkta signalarter för gamla träd och skogsområden med höga naturvärden. Brunskaftad blekspik är placerad högst upp i Skogsstyrelsens värdepyramid för bedömning av skog med höga naturvärden och är typisk art för </w:t>
      </w:r>
      <w:r>
        <w:rPr>
          <w:i/>
        </w:rPr>
        <w:t xml:space="preserve">9020 Nordlig ädellövskog, 9070 Trädklädd betesmark, 9180 Ädellövskog i branter </w:t>
      </w:r>
      <w:r>
        <w:t>och</w:t>
      </w:r>
      <w:r>
        <w:rPr>
          <w:i/>
        </w:rPr>
        <w:t xml:space="preserve"> 6530 Lövängar</w:t>
      </w:r>
      <w:r>
        <w:t xml:space="preserve"> (SLU Artdatabanken, 2024; Nitare &amp; Skogsstyrelsen, 2019).</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Stiftknopplav (VU)</w:t>
      </w:r>
      <w:r>
        <w:t xml:space="preserve"> växer på glest stående, mycket gamla ekar i områden med lång trädkontinuitet och sannolikt även hög luftfuktighet. Arten påverkas negativt av brist på kontinuitetsskog och antalet individer bedöms vara lägre än gränsvärdet för sårbar (VU) (SLU Artdatabanken, 2026).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Trubbig brosklav (VU)</w:t>
      </w:r>
      <w:r>
        <w:t xml:space="preserve"> är funnen från Öland upp till Lule Lappmark men aktuell status är något oklar. I södra och mellersta Sverige är arten uppenbarligen gynnad av dammimpregnering där den växer på gamla lövträd, främst i parker, kyrkogårdar, betesmarker och vid vägkanter. På Gotland växer den huvudsakligen på tunna grangrenar i barrskogar dominerade av gran. I norra Sverige är ekologin sämre känd men den förekommer på träd intill vattenfall. Arten hotas i södra och mellersta Sverige av avverkning av värdträd. Upphörande dammimpregnering vid asfaltering av grusvägar intill lokalerna är också ett hot. Lokalerna i norra Sverige bör lämnas för fri utveckling (SLU Artdatabanken, 2026).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Lavsnabblöpare (NT)</w:t>
      </w:r>
      <w:r>
        <w:t xml:space="preserve"> är ett spindeldjur som är påträffad från Småland och norrut längs Norrlandskusten. Lever troligen bland lavar på träd och berg gärna nära vatten. Fynden pekar på preferens för gles blandskog kanske med inslag av ädellöv i sydvända branter nära vatten. Då arten verkar vara beroende av träd med rikligt med lavar är minskningen av lavar oroväckande. En minskning av populationen pågår eller förväntas ske. Minskningen avser kvalitén på artens habitat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Munkspindling (NT) </w:t>
      </w:r>
      <w:r>
        <w:t>är en sällsynt svamp som bildar mykorrhiza med ek och hassel, sällsynt även avenbok, lind och bok i ädellövskog, hässlen, löväng och betad hagmark på kalkrik mark. Arten hotas av förändring av miljön på växtplatserna, t.ex. genom gallring, avverkning eller omföring av lövskog till barrskog. Oskyddade lokaler bör säkerställas eftersom alla lokaler är hemvist även för andra sällsynta svampar. Munkspindling är placerad högst upp i Skogsstyrelsens värdepyramid för bedömning av skog med höga naturvärden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Parasitsotlav (NT)</w:t>
      </w:r>
      <w:r>
        <w:t xml:space="preserve"> är funnen på grova, ofta halvöppet stående, ädellövträd, oftast ek men även på ask och lönn. Den växer som parasit på olika skorplavar, nästan alltid på bålen av</w:t>
      </w:r>
      <w:r>
        <w:rPr>
          <w:i/>
        </w:rPr>
        <w:t xml:space="preserve"> Pertusaria</w:t>
      </w:r>
      <w:r>
        <w:t>-arter</w:t>
      </w:r>
      <w:r>
        <w:rPr>
          <w:i/>
        </w:rPr>
        <w:t xml:space="preserve"> </w:t>
      </w:r>
      <w:r>
        <w:t>och oftast på hagelporlav</w:t>
      </w:r>
      <w:r>
        <w:rPr>
          <w:i/>
        </w:rPr>
        <w:t xml:space="preserve"> P. coccodes</w:t>
      </w:r>
      <w:r>
        <w:t>. Hävdade marker där arten förekommer bör fortsätta att hävdas. Spara och friställ gamla grova ädellövträd (SLU Artdatabanken, 2026).</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 xml:space="preserve">Pilfotsspindling (NT) </w:t>
      </w:r>
      <w:r>
        <w:t>är en mycket sällsynt art som bildar mykorrhiza med främst ek, sällsynt även hassel, bok och lind i ängsekskog, hässlen, löväng och blandad ädellövskog på kalkrik mark. Kalavverkning och gallring är de främsta hoten. Arten är så sällsynt att även mindre ingrepp i miljön på de fläckar där den förekommer, t.ex. gallring som medför att mykorrhiza-partnern avlägsnas, kan innebära att den försvinner. Om arten påträffas utanför naturreservat bör även dessa platser säkerställas. Arten kan långsiktigt gynnas av att fler områden med ädellövskog på kalkrik mark bevaras och att skogsbruk där helt undviks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Saffransspindling (NT) </w:t>
      </w:r>
      <w:r>
        <w:t>växer i ädellövskog, löväng, hagmark och hässlen på kalkhaltig mark där den bildar mykorrhiza med hassel, ek och sällsynt avenbok och lind. Minskningstakten för den svenska populationen bedöms vara nära gränsvärdet för Sårbar (VU). Växtplatser som utgörs av trädbärande betesmarker med stort inslag av äldre, ädla lövträd måste få fortsatt hävd. Gödning får inte användas och omföring till barrskog kan inte accepteras. De artrikaste och bäst bevarade lokalerna bör säkerställas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Skumticka (NT)</w:t>
      </w:r>
      <w:r>
        <w:t xml:space="preserve"> växer som nedbrytare i döda grenar och stamsår i gamla, levande lövträd, främst lönn och alm, mer sällsynt även i andra lövträd. Påträffas i alléer, parker, hagmarker och ädellövskog. En fortlöpande minskning på nationell nivå bedöms pågå, huvudsakligen p.g.a. almsjukan, men även avverkning av alléer, parkvård och liknande förändringar (SLU Artdatabanken, 2026).</w:t>
      </w:r>
    </w:p>
    <w:p>
      <w:r>
        <w:rPr>
          <w:b/>
        </w:rPr>
        <w:t xml:space="preserve">Slät fjällav (NT) </w:t>
      </w:r>
      <w:r>
        <w:t>växer vid basen av lövträd och är i södra Sverige bara funnen på ädellövträd i miljöer med andra rödlistade arter som i lövängar med lång trädkontinuitet. I Mellansverige finns även ett fåtal fynd på klibbalar vid bäckar. Det främsta hotet utgörs av slutavverkning liksom avverkning av enstaka träd med arten på. Skydda skog med lång trädkontinuitet där lokalklimatet utmärks av skugga och viss luftfuktighet (SLU Artdatabanken, 2025).</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i/>
        </w:rPr>
        <w:t xml:space="preserve">Biatora hemipolia </w:t>
      </w:r>
      <w:r>
        <w:rPr>
          <w:b/>
        </w:rPr>
        <w:t>(DD)</w:t>
      </w:r>
      <w:r>
        <w:t xml:space="preserve"> är noterad på ett 20-tal lokaler på framförallt ädellövträd. Faktaunderlaget bedöms vara otillräckligt för att avgöra vilken av de olika rödlistningskategorierna som är mest trolig (SLU Artdatabanken, 2026).</w:t>
      </w:r>
    </w:p>
    <w:p>
      <w:r>
        <w:rPr>
          <w:b/>
        </w:rPr>
        <w:t>Blemlavsklotter (DD)</w:t>
      </w:r>
      <w:r>
        <w:t xml:space="preserve"> är en lavparasit som växer på den vanliga arten blemlav, men är avsevärt ovanligare än sin värd och enbart hittad i halvöppna lägen i områden med lång trädkontinuitet och hög luftfuktighet. Faktaunderlaget bedöms vara otillräckligt för att avgöra vilken av de olika rödlistningskategorierna som är mest trolig (SLU Artdatabanken, 2026).</w:t>
      </w:r>
    </w:p>
    <w:p>
      <w:r>
        <w:rPr>
          <w:b/>
        </w:rPr>
        <w:t>Frostig asplav (DD)</w:t>
      </w:r>
      <w:r>
        <w:t xml:space="preserve"> växer på slätbarkiga träd (ask och rönn) i öppna skogar med hög luftfuktighet. Askskottssjuka är ett allvarligt hot, men även dränering av och avverkning på artens lokaler utgör hot. Bara ett fåtal av lokalerna är skyddade. Lokaler med arten bör skyddas. Avverkning och dränering av lokaler bör undvikas (SLU Artdatabanken, 2026).</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Mörk lungört</w:t>
      </w:r>
      <w:r>
        <w:t xml:space="preserve"> är typisk art för </w:t>
      </w:r>
      <w:r>
        <w:rPr>
          <w:i/>
        </w:rPr>
        <w:t xml:space="preserve">9020 Nordlig ädellövskog, 9160 Näringsrik ekskog </w:t>
      </w:r>
      <w:r>
        <w:t>och</w:t>
      </w:r>
      <w:r>
        <w:rPr>
          <w:i/>
        </w:rPr>
        <w:t xml:space="preserve"> 9180 Ädellövskog i branter</w:t>
      </w:r>
      <w:r>
        <w:t>. Lungört är värdväxt för de rödlistade fjärilarna lungörtssäckmal (CR) och lungörtssorgmal (NT) samt för skalbaggen lungörtsvivel (NT)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 xml:space="preserve">Vildkaprifol </w:t>
      </w:r>
      <w:r>
        <w:t xml:space="preserve">är typisk art för </w:t>
      </w:r>
      <w:r>
        <w:rPr>
          <w:i/>
        </w:rPr>
        <w:t>9190 Näringsfattig ekskog</w:t>
      </w:r>
      <w:r>
        <w:t>. Kaprifol är värdväxt för bland annat de rödlistade fjärilarna töcknig trymal (VU) och tryfjäril (NT) (SLU Artdatabanken, 2026).</w:t>
      </w:r>
    </w:p>
    <w:p>
      <w:r>
        <w:rPr>
          <w:b/>
        </w:rPr>
        <w:t>Vitsippa</w:t>
      </w:r>
      <w:r>
        <w:t xml:space="preserve"> är typisk art för </w:t>
      </w:r>
      <w:r>
        <w:rPr>
          <w:i/>
        </w:rPr>
        <w:t xml:space="preserve">9040 Fjällbjörkskog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141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174 naturvårdsarter varav 104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Sommargylling – ekologi samt krav på livsmiljön</w:t>
      </w:r>
    </w:p>
    <w:p>
      <w:r>
        <w:t>Sommargylling (EN, §4) är en starkt hotad art som häckar i närheten av gläntor och skogsbryn i områden med högstammig bok- eller tallskog, fuktig björkskog eller ekskog. Undervegetationen är ofta yppig och en mosaik av täta skogsdungar, öppna marker och småvatten med rik vegetation förefaller vara optimalt för arten (SLU Artdatabanken, 2024).</w:t>
      </w:r>
    </w:p>
    <w:p>
      <w:r>
        <w:t>Själva reviret omfattar 4–50 ha (medelvärde 17 ha). På Revingefältet (40 km2) häckade 12 par 1976, vilket innebar en täthet på 0,3 par/km2 där medelavståndet mellan boplatserna var cirka 1300 meter. Gemensamt för häckningsmiljöerna är att trädskiktet är tätt med välutvecklad, komplex struktur och med solbelysta gläntor och kantzoner. Tillgång till högre/äldre träd för boets placering är viktig, liksom riklig undervegetation. När buskar och högre örter rensades bort för att ge plats åt en beteshage på en gammal lokal för sommargylling, upphörde fåglarna att häcka där. Torrläggning av lummiga sankområden, som utgjort provianteringsplats för sommargyllingar, har gett samma resultat (SLU Artdatabanken, 2024; Skogsstyrelsen, 2016).</w:t>
      </w:r>
    </w:p>
    <w:p>
      <w:r>
        <w:t>Arten missgynnas av avverkning av lämpliga häckningsmiljöer. Eftersom förekomst av ett tätt kronskikt är viktigt för sommargyllingen är den troligen känslig även för gallring av äldre skog. Undervegetationen vid sommargyllingarnas boplatser måste bevaras, liksom näraliggande våtmarker. Det är viktigt att häckningsplatserna inte utsätts för biotopförändringar eller direkta störningar (SLU Artdatabanken, 2024; Skogsstyrelsen, 2016).</w:t>
      </w:r>
    </w:p>
    <w:p>
      <w:pPr>
        <w:pStyle w:val="Heading2"/>
      </w:pPr>
      <w:r>
        <w:t>Referenser – sommargylling</w:t>
      </w:r>
    </w:p>
    <w:p>
      <w:r>
        <w:t xml:space="preserve">Skogsstyrelsen, 2016. </w:t>
      </w:r>
      <w:r>
        <w:rPr>
          <w:i/>
        </w:rPr>
        <w:t xml:space="preserve">Vägledning för hänsyn till sommargylling. </w:t>
      </w:r>
      <w:r>
        <w:t>Vägledningar och kunskapsstöd artskydd - Skogsstyrelsen</w:t>
      </w:r>
    </w:p>
    <w:p>
      <w:r>
        <w:t>SLU Artdatabanken, 2024.</w:t>
      </w:r>
      <w:r>
        <w:rPr>
          <w:i/>
        </w:rPr>
        <w:t xml:space="preserve">  Artfakta: sommargylling (Oriolus oriolus). </w:t>
      </w:r>
      <w:r>
        <w:t>https://artfakta.se/taxa/100094</w:t>
      </w:r>
    </w:p>
    <w:p>
      <w:pPr>
        <w:pStyle w:val="Heading1"/>
      </w:pPr>
      <w:r>
        <w:t>Berguv – ekologi samt krav på livsmiljön</w:t>
      </w:r>
    </w:p>
    <w:p>
      <w:r>
        <w:t>Berguv (VU, §4) är rödlistad som sårbar och upptagen i bilaga 1 EU:s fågeldirektiv. Den häckar i rasbranter och klippterräng, ofta på en svårtillgänglig och skyddad klipphylla eller skreva. Branten ska gärna vara sydvänd så den blir snöfri tidigt. Boet kan ibland ligga på marken i vanlig skog, men då ofta i en mer eller mindre brant sluttning och gärna i skydd mot en sten eller myrstack. Den häckar dessutom i stenbrott, grustag, vid soptippar eller liknande artificiella miljöer. Häckningar förekommer också på byggnader. Lämpliga lokaler används ofta under många år, särskilt vissa så kallade uvberg och då uvarna till slut blivit fast bosatta i ett revir förblir de starkt bundna till detta. Ett normalrevir torde ha 4–6 kilometers diameter och innehåller i allmänhet starkt växlande natur (SLU Artdatabanken, 2024; Skogsstyrelsen, 2016).</w:t>
      </w:r>
    </w:p>
    <w:p>
      <w:r>
        <w:t>Trots att berguven delvis förekommer i människoskapade miljöer är den känslig för störningar i närheten av boet. Det gäller särskilt under ruvningstiden och när ungarna är små. Berguven har en mycket långt utdragen häckning, från slutet av februari ända bort mot början av september, då ungarna först vid denna tid lämnar kläckningsplatsen och föräldrarna (SLU Artdatabanken, 2024; Skogsstyrelsen, 2016).</w:t>
      </w:r>
    </w:p>
    <w:p>
      <w:r>
        <w:t>Nuvarande bobranter och potentiella goda sådana i reserv måste på olika sätt skyddas genom totalt skydd mot bebyggelse. Omfattande avverkningar bör aldrig tillåtas ända in under bergroten. Som minimum bör en ridå på cirka 50 meters bredd sparas och den kvarlämnade skyddszonen kring markhäckningar behöver troligen minst vara i storleksordningen 100 meter om arten ska finnas kvar. Berget med skyddskappa av träd bör inte heller isoleras från angränsande större skog genom helt kalavverkade omgivningar. Minskningstakten för berguven har uppgått till 40 (20–50) % under de senaste 30 åren och antalet individer bedöms vara lägre än gränsvärdet för Sårbar (VU) enligt D-kriteriet. (D1) (SLU Artdatabanken, 2024; Skogsstyrelsen, 2016).</w:t>
      </w:r>
    </w:p>
    <w:p>
      <w:pPr>
        <w:pStyle w:val="Heading2"/>
      </w:pPr>
      <w:r>
        <w:t>Referenser – berguv</w:t>
      </w:r>
    </w:p>
    <w:p>
      <w:r>
        <w:t xml:space="preserve">Skogsstyrelsen, 2016. </w:t>
      </w:r>
      <w:r>
        <w:rPr>
          <w:i/>
        </w:rPr>
        <w:t xml:space="preserve">Vägledning för hänsyn till berguv.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