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som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2"/>
      </w:pPr>
      <w:r>
        <w:t>Fridlysta arter</w:t>
      </w:r>
    </w:p>
    <w:p>
      <w:r>
        <w:t>Följande fridlysta arter har sina livsmiljöer och växtplatser i den avverkningsanmälda skogen: grönfink (VU, §4), brunlångöra (NT, §4a), enkelbeckasin (NT, §4), gulsparv (NT, §4), järnsparv (NT, §4), nordfladdermus (NT, §4a), sädesärla (NT, §4), talltita (NT, §4), blåsippa (T, §9), spillkråka (T, §4), dvärgpipistrell (§4a), grönsiska (§4), kungsfågel (§4), större brunfladdermus (§4a), större vattensalamander (§4a), svartvit flugsnappare (§4), vattenfladdermus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