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3220-2020 i Nynäshamns kommun</w:t>
      </w:r>
    </w:p>
    <w:p>
      <w:r>
        <w:t>Detta dokument behandlar höga naturvärden i avverkningsanmälan A 3220-2020 i Nynäshamns kommun. Denna avverkningsanmälan inkom 2020-01-21 och omfattar 11,2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gränsticka (NT), spillkråka (NT, §4), blåmossa (S), bronshjon (S), granbarkgnagare (S), grön sköldmossa (S, §8), sårläka (S) och vågbandad barkbock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65709"/>
            <wp:docPr id="1" name="Picture 1"/>
            <wp:cNvGraphicFramePr>
              <a:graphicFrameLocks noChangeAspect="1"/>
            </wp:cNvGraphicFramePr>
            <a:graphic>
              <a:graphicData uri="http://schemas.openxmlformats.org/drawingml/2006/picture">
                <pic:pic>
                  <pic:nvPicPr>
                    <pic:cNvPr id="0" name="A 3220-2020 karta.png"/>
                    <pic:cNvPicPr/>
                  </pic:nvPicPr>
                  <pic:blipFill>
                    <a:blip r:embed="rId16"/>
                    <a:stretch>
                      <a:fillRect/>
                    </a:stretch>
                  </pic:blipFill>
                  <pic:spPr>
                    <a:xfrm>
                      <a:off x="0" y="0"/>
                      <a:ext cx="5486400" cy="53657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6526492, E 664313 i SWEREF 99 TM.</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pPr>
        <w:pStyle w:val="Heading1"/>
      </w:pPr>
      <w:r>
        <w:t>Fridlysta arter</w:t>
      </w:r>
    </w:p>
    <w:p>
      <w:r>
        <w:t>Följande fridlysta arter har sina livsmiljöer och växtplatser i den avverkningsanmälda skogen: spillkråka (NT, §4) och grön sköldmossa (S,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Grön sköldmossa (§8)</w:t>
      </w:r>
      <w:r>
        <w:t xml:space="preserve"> omfattas av EU:s art- och habitatdirektiv bilaga 2 vilket innebär att det är en prioriterad art och att det finns ett uttalat intresse inom Europeiska unionen att bevara arten.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Grön sköldmossa är upptagen i EU:s Habitatdirektiv bilaga 2 vilket innebär att det är en prioriterad art och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3"/>
      </w:pPr>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