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1212-2023 i Nynäshamns kommun</w:t>
      </w:r>
    </w:p>
    <w:p>
      <w:r>
        <w:t>Detta dokument behandlar höga naturvärden i avverkningsanmälan A 1212-2023 i Nynäshamns kommun. Denna avverkningsanmälan inkom 2023-01-09 00:00:00 och omfattar 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knärot (VU, §8), grön sköldmossa (S, §8), hasselticka (S), kattfotslav (S), kornknutmossa (S), skogsknipprot (S, §8), stor revmossa (S), sårläka (S), västlig hakmossa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7021"/>
            <wp:docPr id="1" name="Picture 1"/>
            <wp:cNvGraphicFramePr>
              <a:graphicFrameLocks noChangeAspect="1"/>
            </wp:cNvGraphicFramePr>
            <a:graphic>
              <a:graphicData uri="http://schemas.openxmlformats.org/drawingml/2006/picture">
                <pic:pic>
                  <pic:nvPicPr>
                    <pic:cNvPr id="0" name="A 1212-2023 karta.png"/>
                    <pic:cNvPicPr/>
                  </pic:nvPicPr>
                  <pic:blipFill>
                    <a:blip r:embed="rId16"/>
                    <a:stretch>
                      <a:fillRect/>
                    </a:stretch>
                  </pic:blipFill>
                  <pic:spPr>
                    <a:xfrm>
                      <a:off x="0" y="0"/>
                      <a:ext cx="5486400" cy="43470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6526301, E 663473 i SWEREF 99 TM.</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pPr>
        <w:pStyle w:val="Heading1"/>
      </w:pPr>
      <w:r>
        <w:t>Fridlysta arter</w:t>
      </w:r>
    </w:p>
    <w:p>
      <w:r>
        <w:t>Följande fridlysta arter har sina livsmiljöer och växtplatser i den avverkningsanmälda skogen: knärot (VU, §8), grön sköldmossa (S, §8), skogsknipprot (S, §8) och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0.55 ha med buffertzonerna och får av detta skäl inte avverkas.</w:t>
      </w:r>
    </w:p>
    <w:p>
      <w:pPr>
        <w:pStyle w:val="Caption"/>
      </w:pPr>
      <w:r>
        <w:drawing>
          <wp:inline xmlns:a="http://schemas.openxmlformats.org/drawingml/2006/main" xmlns:pic="http://schemas.openxmlformats.org/drawingml/2006/picture">
            <wp:extent cx="5486400" cy="5215909"/>
            <wp:docPr id="2" name="Picture 2"/>
            <wp:cNvGraphicFramePr>
              <a:graphicFrameLocks noChangeAspect="1"/>
            </wp:cNvGraphicFramePr>
            <a:graphic>
              <a:graphicData uri="http://schemas.openxmlformats.org/drawingml/2006/picture">
                <pic:pic>
                  <pic:nvPicPr>
                    <pic:cNvPr id="0" name="A 1212-2023 karta knärot.png"/>
                    <pic:cNvPicPr/>
                  </pic:nvPicPr>
                  <pic:blipFill>
                    <a:blip r:embed="rId17"/>
                    <a:stretch>
                      <a:fillRect/>
                    </a:stretch>
                  </pic:blipFill>
                  <pic:spPr>
                    <a:xfrm>
                      <a:off x="0" y="0"/>
                      <a:ext cx="5486400" cy="521590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6526301, E 663473 i SWEREF 99 TM.</w:t>
      </w:r>
    </w:p>
    <w:p>
      <w:pPr>
        <w:pStyle w:val="Caption"/>
      </w:pPr>
    </w:p>
    <w:p>
      <w:r>
        <w:rPr>
          <w:b/>
        </w:rPr>
        <w:t>Skogsknipprot (§8)</w:t>
      </w:r>
      <w:r>
        <w:t xml:space="preserve"> är fridlyst enligt 8§ artskyddsförordningen och typisk art för </w:t>
      </w:r>
      <w:r>
        <w:rPr>
          <w:i/>
        </w:rPr>
        <w:t>9050 Näringsrik granskog</w:t>
      </w:r>
      <w:r>
        <w:t xml:space="preserve"> (SLU Artdatabanken, 2025).</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