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5233-2026 i Nynäshamns kommun</w:t>
      </w:r>
    </w:p>
    <w:p>
      <w:r>
        <w:t>Detta dokument behandlar höga naturvärden i avverkningsanmälan A 5233-2026 i Nynäshamns kommun som inkom 2026-01-27 och omfattar 9,0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83865" cy="5688000"/>
            <wp:docPr id="1" name="Picture 1"/>
            <wp:cNvGraphicFramePr>
              <a:graphicFrameLocks noChangeAspect="1"/>
            </wp:cNvGraphicFramePr>
            <a:graphic>
              <a:graphicData uri="http://schemas.openxmlformats.org/drawingml/2006/picture">
                <pic:pic>
                  <pic:nvPicPr>
                    <pic:cNvPr id="0" name="A 5233-2026 karta.png"/>
                    <pic:cNvPicPr/>
                  </pic:nvPicPr>
                  <pic:blipFill>
                    <a:blip r:embed="rId16"/>
                    <a:stretch>
                      <a:fillRect/>
                    </a:stretch>
                  </pic:blipFill>
                  <pic:spPr>
                    <a:xfrm>
                      <a:off x="0" y="0"/>
                      <a:ext cx="5183865"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6545206, E 659699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blåsippa (T, §9), spillkråka (T, §4), kråka (§4) och skogsduva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spillkråka (T, §4), kråka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