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31893-2019 i Nynäshamns kommun</w:t>
      </w:r>
    </w:p>
    <w:p>
      <w:r>
        <w:t>Detta dokument behandlar höga naturvärden i avverkningsanmälan A 31893-2019 i Nynäshamns kommun. Denna avverkningsanmälan inkom 2019-06-26 och omfattar 3,4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stubbspretmossa (S) och revlummer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05913"/>
            <wp:docPr id="1" name="Picture 1"/>
            <wp:cNvGraphicFramePr>
              <a:graphicFrameLocks noChangeAspect="1"/>
            </wp:cNvGraphicFramePr>
            <a:graphic>
              <a:graphicData uri="http://schemas.openxmlformats.org/drawingml/2006/picture">
                <pic:pic>
                  <pic:nvPicPr>
                    <pic:cNvPr id="0" name="A 31893-2019 karta.png"/>
                    <pic:cNvPicPr/>
                  </pic:nvPicPr>
                  <pic:blipFill>
                    <a:blip r:embed="rId16"/>
                    <a:stretch>
                      <a:fillRect/>
                    </a:stretch>
                  </pic:blipFill>
                  <pic:spPr>
                    <a:xfrm>
                      <a:off x="0" y="0"/>
                      <a:ext cx="5486400" cy="63059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6547432, E 668409 i SWEREF 99 TM.</w:t>
      </w:r>
    </w:p>
    <w:p>
      <w:r>
        <w:rPr>
          <w:b/>
        </w:rPr>
        <w:t>Stubbspretmossa</w:t>
      </w:r>
      <w:r>
        <w:t xml:space="preserve"> växer på ved i rika löv- och barrskogar med relativt hög luftfuktighet och indikerar fuktiga skogsmiljöer med gott om murken ved och ofta höga naturvärden (SLU Artdatabanken, 2024).</w:t>
      </w:r>
    </w:p>
    <w:p>
      <w:pPr>
        <w:pStyle w:val="Heading1"/>
      </w:pPr>
      <w:r>
        <w:t>Fridlysta arter</w:t>
      </w:r>
    </w:p>
    <w:p>
      <w:r>
        <w:t>Följande fridlysta arter har sina livsmiljöer och växtplatser i den avverkningsanmälda skogen: revlummer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