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33528-2023 i Nynäshamns kommun</w:t>
      </w:r>
    </w:p>
    <w:p>
      <w:r>
        <w:t>Detta klagomål behandlar höga naturvärden i avverkningsanmälan A 33528-2023 i Nynäshamns kommun som inkom 2023-07-24 och omfattar 4,0 ha.</w:t>
      </w:r>
    </w:p>
    <w:p>
      <w:pPr>
        <w:pStyle w:val="Caption"/>
      </w:pPr>
      <w:r>
        <w:drawing>
          <wp:inline xmlns:a="http://schemas.openxmlformats.org/drawingml/2006/main" xmlns:pic="http://schemas.openxmlformats.org/drawingml/2006/picture">
            <wp:extent cx="5486400" cy="2905341"/>
            <wp:docPr id="1" name="Picture 1"/>
            <wp:cNvGraphicFramePr>
              <a:graphicFrameLocks noChangeAspect="1"/>
            </wp:cNvGraphicFramePr>
            <a:graphic>
              <a:graphicData uri="http://schemas.openxmlformats.org/drawingml/2006/picture">
                <pic:pic>
                  <pic:nvPicPr>
                    <pic:cNvPr id="0" name="A 33528-2023 karta.png"/>
                    <pic:cNvPicPr/>
                  </pic:nvPicPr>
                  <pic:blipFill>
                    <a:blip r:embed="rId16"/>
                    <a:stretch>
                      <a:fillRect/>
                    </a:stretch>
                  </pic:blipFill>
                  <pic:spPr>
                    <a:xfrm>
                      <a:off x="0" y="0"/>
                      <a:ext cx="5486400" cy="290534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6549281, E 667422 i SWEREF 99 TM.</w:t>
      </w:r>
    </w:p>
    <w:p>
      <w:r>
        <w:t>I avverkningsanmälan finns fynd av 2 naturvårdsarter, varav 1 är rödlistad, 2 är typiska (T) och 1 är signalart (S): gullpudra (NT, T) och strutbräken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Gullpudra (NT)</w:t>
      </w:r>
      <w:r>
        <w:t xml:space="preserve"> växer sparsamt främst i källpåverkad sumpskog i södra och mellersta Sverige norrut till Jämtland-Västernorrland. Kommer in på rödlistan för första gången 2025 till följd av en stark minskning (&gt;50%) i Riksskogstaxeringens data. Minskningstakten överstiger gränsvärdet för Starkt hotad (EN) enligt A-kriteriet.  Då minskningen har en stor osäkerhet så nedgraderas rödlistekategorin två steg till Nära hotad. Gullpudra är typisk art för </w:t>
      </w:r>
      <w:r>
        <w:rPr>
          <w:i/>
        </w:rPr>
        <w:t xml:space="preserve">9080 Lövsumpskog, 7160 Källor och källkärr </w:t>
      </w:r>
      <w:r>
        <w:t>och</w:t>
      </w:r>
      <w:r>
        <w:rPr>
          <w:i/>
        </w:rPr>
        <w:t xml:space="preserve"> 7310 Aapamyrar</w:t>
      </w:r>
      <w:r>
        <w:t xml:space="preserve"> (SLU Artdatabanken, 2026).</w:t>
      </w:r>
    </w:p>
    <w:p>
      <w:r>
        <w:rPr>
          <w:b/>
        </w:rPr>
        <w:t xml:space="preserve">Strutbräken </w:t>
      </w:r>
      <w:r>
        <w:t xml:space="preserve">är normalt en mycket bra och tydlig signalart som visar på flera olika fuktiga biotoper med rörligt markvatten som nästan alltid har höga naturvärden. Den växer på skuggiga, fuktiga, näringsrika mullmarker längs bäckdalar, åar, älvar, översilade sluttningar med högörtsgranskog och svämlövskogar med kortvarigt översvämmade sedimentplan. Växtplatserna har ytligt rörligt markvatten och konstant hög luftfuktighet. Arten är känslig för avverkning och dikning.Strutbräken är typisk art för </w:t>
      </w:r>
      <w:r>
        <w:rPr>
          <w:i/>
        </w:rPr>
        <w:t xml:space="preserve">9050 Näringsrik granskog, 9080 Lövsumpskog, 9750 Svämlövskog, 9760 Svämädellövskog </w:t>
      </w:r>
      <w:r>
        <w:t>och</w:t>
      </w:r>
      <w:r>
        <w:rPr>
          <w:i/>
        </w:rPr>
        <w:t xml:space="preserve"> 6430 Högörtängar</w:t>
      </w:r>
      <w:r>
        <w:t xml:space="preserve"> (Nitare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