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5567-2023 i Nynäshamns kommun</w:t>
      </w:r>
    </w:p>
    <w:p>
      <w:r>
        <w:t>Detta dokument behandlar höga naturvärden i avverkningsanmälan A 5567-2023 i Nynäshamns kommun. Denna avverkningsanmälan inkom 2023-02-03 00:00:00 och omfattar 10,1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sårläka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16625"/>
            <wp:docPr id="1" name="Picture 1"/>
            <wp:cNvGraphicFramePr>
              <a:graphicFrameLocks noChangeAspect="1"/>
            </wp:cNvGraphicFramePr>
            <a:graphic>
              <a:graphicData uri="http://schemas.openxmlformats.org/drawingml/2006/picture">
                <pic:pic>
                  <pic:nvPicPr>
                    <pic:cNvPr id="0" name="A 5567-2023 karta.png"/>
                    <pic:cNvPicPr/>
                  </pic:nvPicPr>
                  <pic:blipFill>
                    <a:blip r:embed="rId16"/>
                    <a:stretch>
                      <a:fillRect/>
                    </a:stretch>
                  </pic:blipFill>
                  <pic:spPr>
                    <a:xfrm>
                      <a:off x="0" y="0"/>
                      <a:ext cx="5486400" cy="621662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6551649, E 657793 i SWEREF 99 TM.</w:t>
      </w:r>
    </w:p>
    <w:p>
      <w:r>
        <w:rPr>
          <w:b/>
        </w:rPr>
        <w:t>Sårläka</w:t>
      </w:r>
      <w:r>
        <w:t xml:space="preserve"> växer på mullrik mark i skuggiga eller halvskuggiga lövskogar och lundar men också i örtrika kalkbarrskogar. Arten ingår i en exklusiv lundflora som bara uppträder i de allra rikaste kalkbarrskogarna söder om den biologiska norrlandsgränsen. I ädellövskogar och lundar är den också knuten till områden med en mycket rik mångfald av naturvårdsarter. Sårläka är värdväxt för den rödlistade fjärilen sårläkeplattmal (NT) (SLU Artdatabanken, 2024;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