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31142-2023 i Nynäshamns kommun</w:t>
      </w:r>
    </w:p>
    <w:p>
      <w:r>
        <w:t>Denna tillsynsbegäran behandlar höga naturvärden i avverkningsanmälan A 31142-2023 i Nynäshamns kommun som inkom 2023-07-06 och omfattar 5,7 ha.</w:t>
      </w:r>
    </w:p>
    <w:p>
      <w:pPr>
        <w:pStyle w:val="Caption"/>
      </w:pPr>
      <w:r>
        <w:drawing>
          <wp:inline xmlns:a="http://schemas.openxmlformats.org/drawingml/2006/main" xmlns:pic="http://schemas.openxmlformats.org/drawingml/2006/picture">
            <wp:extent cx="4768033" cy="5724000"/>
            <wp:docPr id="1" name="Picture 1"/>
            <wp:cNvGraphicFramePr>
              <a:graphicFrameLocks noChangeAspect="1"/>
            </wp:cNvGraphicFramePr>
            <a:graphic>
              <a:graphicData uri="http://schemas.openxmlformats.org/drawingml/2006/picture">
                <pic:pic>
                  <pic:nvPicPr>
                    <pic:cNvPr id="0" name="A 31142-2023 karta.png"/>
                    <pic:cNvPicPr/>
                  </pic:nvPicPr>
                  <pic:blipFill>
                    <a:blip r:embed="rId16"/>
                    <a:stretch>
                      <a:fillRect/>
                    </a:stretch>
                  </pic:blipFill>
                  <pic:spPr>
                    <a:xfrm>
                      <a:off x="0" y="0"/>
                      <a:ext cx="4768033" cy="5724000"/>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6543248, E 669722 i SWEREF 99 TM.</w:t>
      </w:r>
    </w:p>
    <w:p>
      <w:r>
        <w:t>I och inom 14 meter från avverkningsanmälan finns fynd av 9 naturvårdsarter, varav 5 är rödlistade, 6 är fridlysta och 1 är typisk (T): ask (EN), skogsalm (EN), entita (NT, T, §4), jungfrulin (NT), talltita (NT, §4), gröngöling (§4), grönsiska (§4), havsörn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