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1862-2026 i Nynäshamns kommun</w:t>
      </w:r>
    </w:p>
    <w:p>
      <w:r>
        <w:t>Denna tillsynsbegäran behandlar höga naturvärden i samrådsanmälan S 1862-2026 i Nynäshamns kommun som inkom 2026-06-25 och omfattar 2,8 ha.</w:t>
      </w:r>
    </w:p>
    <w:p>
      <w:pPr>
        <w:pStyle w:val="Caption"/>
      </w:pPr>
      <w:r>
        <w:drawing>
          <wp:inline xmlns:a="http://schemas.openxmlformats.org/drawingml/2006/main" xmlns:pic="http://schemas.openxmlformats.org/drawingml/2006/picture">
            <wp:extent cx="3998932" cy="5724000"/>
            <wp:docPr id="1" name="Picture 1"/>
            <wp:cNvGraphicFramePr>
              <a:graphicFrameLocks noChangeAspect="1"/>
            </wp:cNvGraphicFramePr>
            <a:graphic>
              <a:graphicData uri="http://schemas.openxmlformats.org/drawingml/2006/picture">
                <pic:pic>
                  <pic:nvPicPr>
                    <pic:cNvPr id="0" name="S 1862-2026 karta.png"/>
                    <pic:cNvPicPr/>
                  </pic:nvPicPr>
                  <pic:blipFill>
                    <a:blip r:embed="rId16"/>
                    <a:stretch>
                      <a:fillRect/>
                    </a:stretch>
                  </pic:blipFill>
                  <pic:spPr>
                    <a:xfrm>
                      <a:off x="0" y="0"/>
                      <a:ext cx="3998932" cy="5724000"/>
                    </a:xfrm>
                    <a:prstGeom prst="rect"/>
                  </pic:spPr>
                </pic:pic>
              </a:graphicData>
            </a:graphic>
          </wp:inline>
        </w:drawing>
      </w:r>
    </w:p>
    <w:p>
      <w:pPr>
        <w:pStyle w:val="Caption"/>
        <w:spacing w:after="240"/>
      </w:pPr>
      <w:r>
        <w:t>Figur 1. Fyndplatser för naturvårdsarter i och inom 23 meter från samrådsanmälan. Markörer utan svart kant är placerade på fyndplatsen. Markörer med svart kant är placerade vid sidan av fyndplatsen och har ett svart streck som visar fyndplatsens exakta position. Kartans mittpunktskoordinat är N 6546414, E 671767 i SWEREF 99 TM.</w:t>
      </w:r>
    </w:p>
    <w:p>
      <w:r>
        <w:t>I och inom 23 meter från samrådsanmälan finns fynd av 4 naturvårdsarter, varav 2 är rödlistade, 4 är typiska (T) och 2 är signalarter (S): skogskorn (VU, T), vårärt (NT, T), hässleklocka (S, T) och strävlosta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Skogskorn (VU) </w:t>
      </w:r>
      <w:r>
        <w:t xml:space="preserve">är ett mycket sällsynt och värmeälskande lundgräs som växer på kalkhaltig mark i halvöppna ödellövskogar och extremrika kalkbarrskogar. Arten är placerad högst upp i Skogsstyrelsens värdepyramid för bedömning av skog med höga naturvärden. Dess växtplatser bör ej betas eller slutavverkas. Skogskorn är typisk art för </w:t>
      </w:r>
      <w:r>
        <w:rPr>
          <w:i/>
        </w:rPr>
        <w:t>9020 Nordlig ädellövskog</w:t>
      </w:r>
      <w:r>
        <w:t xml:space="preserve"> (SLU Artdatabanken, 2024; Nitare &amp; Skogsstyrelsen, 2019).</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 xml:space="preserve">Hässleklocka </w:t>
      </w:r>
      <w:r>
        <w:t xml:space="preserve">är typisk art för </w:t>
      </w:r>
      <w:r>
        <w:rPr>
          <w:i/>
        </w:rPr>
        <w:t xml:space="preserve">9020 Nordlig ädellövskog </w:t>
      </w:r>
      <w:r>
        <w:t xml:space="preserve">och </w:t>
      </w:r>
      <w:r>
        <w:rPr>
          <w:i/>
        </w:rPr>
        <w:t xml:space="preserve">9180 Ädellövskog i branter </w:t>
      </w:r>
      <w:r>
        <w:t>(SLU Artdatabanken, 2025).</w:t>
      </w:r>
    </w:p>
    <w:p>
      <w:r>
        <w:rPr>
          <w:b/>
        </w:rPr>
        <w:t xml:space="preserve">Strävlosta </w:t>
      </w:r>
      <w:r>
        <w:t xml:space="preserve">är ett sällsynt och exklusivt lundgräs som växer i extremrika ädellundskogar och lundar, men även i extremrika kalkbarrskogar. Arten är placerad högst upp i Skogsstyrelsens värdepyramid för bedömning av skog med höga naturvärden och på växtplatserna finns normalt många andra rödlistade och hotade arter. Strävlosta är typisk art för </w:t>
      </w:r>
      <w:r>
        <w:rPr>
          <w:i/>
        </w:rPr>
        <w:t xml:space="preserve">9050 Näringsrik granskog, 9020 Nordlig ädellövskog, 9130 Näringsrik bokskog </w:t>
      </w:r>
      <w:r>
        <w:t xml:space="preserve">och </w:t>
      </w:r>
      <w:r>
        <w:rPr>
          <w:i/>
        </w:rPr>
        <w:t>9180 Ädellövskog i branter</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