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32074-2023 i Nynäshamns kommun</w:t>
      </w:r>
    </w:p>
    <w:p>
      <w:r>
        <w:t>Detta klagomål behandlar höga naturvärden i avverkningsanmälan A 32074-2023 i Nynäshamns kommun som inkom 2023-07-12 och omfattar 13,1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32074-2023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6544291, E 667032 i SWEREF 99 TM.</w:t>
      </w:r>
    </w:p>
    <w:p>
      <w:r>
        <w:t>I avverkningsanmälan finns fynd av 1 naturvårdsarter, varav 1 är rödlistad: grå kantarell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Grå kantarell (NT) </w:t>
      </w:r>
      <w:r>
        <w:t>bildar mykorrhiza med ädellövträd och hassel i kalkrik eller lerig ängsbokskog på sluttande mark eller i rasbranter, men också på mulljord i kalkrika lövängar och lundar med ek och hassel. Lokaler för grå kantarell hyser ofta många andra rödlistade arter och bör utvärderas för områdesskydd och/eller specifika skötselrekommendationer. Växtplatser i ädellövskog undantas från skogsbruk och en skötselplan upprättas. Arten är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