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1862-2026 i Nynäshamns kommun</w:t>
      </w:r>
    </w:p>
    <w:p>
      <w:r>
        <w:t>Detta klagomål behandlar höga naturvärden i samrådsanmälan S 1862-2026 i Nynäshamns kommun som inkom 2026-06-25 och omfattar 2,8 ha.</w:t>
      </w:r>
    </w:p>
    <w:p>
      <w:pPr>
        <w:pStyle w:val="Caption"/>
      </w:pPr>
      <w:r>
        <w:drawing>
          <wp:inline xmlns:a="http://schemas.openxmlformats.org/drawingml/2006/main" xmlns:pic="http://schemas.openxmlformats.org/drawingml/2006/picture">
            <wp:extent cx="3998932" cy="5724000"/>
            <wp:docPr id="1" name="Picture 1"/>
            <wp:cNvGraphicFramePr>
              <a:graphicFrameLocks noChangeAspect="1"/>
            </wp:cNvGraphicFramePr>
            <a:graphic>
              <a:graphicData uri="http://schemas.openxmlformats.org/drawingml/2006/picture">
                <pic:pic>
                  <pic:nvPicPr>
                    <pic:cNvPr id="0" name="S 1862-2026 karta.png"/>
                    <pic:cNvPicPr/>
                  </pic:nvPicPr>
                  <pic:blipFill>
                    <a:blip r:embed="rId16"/>
                    <a:stretch>
                      <a:fillRect/>
                    </a:stretch>
                  </pic:blipFill>
                  <pic:spPr>
                    <a:xfrm>
                      <a:off x="0" y="0"/>
                      <a:ext cx="3998932"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6546414, E 671767 i SWEREF 99 TM.</w:t>
      </w:r>
    </w:p>
    <w:p>
      <w:r>
        <w:t>I och inom 23 meter från samrådsanmälan finns fynd av 4 naturvårdsarter, varav 2 är rödlistade, 4 är typiska (T) och 2 är signalarter (S): skogskorn (VU, T), vårärt (NT, T), hässleklocka (S, T) och strävlosta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