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2695-2024 i Nynäshamns kommun</w:t>
      </w:r>
    </w:p>
    <w:p>
      <w:r>
        <w:t>Detta klagomål behandlar höga naturvärden i samrådsanmälan S 2695-2024 i Nynäshamns kommun som inkom 2024-07-09 och omfattar 5,7 ha.</w:t>
      </w:r>
    </w:p>
    <w:p>
      <w:pPr>
        <w:pStyle w:val="Caption"/>
      </w:pPr>
      <w:r>
        <w:drawing>
          <wp:inline xmlns:a="http://schemas.openxmlformats.org/drawingml/2006/main" xmlns:pic="http://schemas.openxmlformats.org/drawingml/2006/picture">
            <wp:extent cx="4545761" cy="5724000"/>
            <wp:docPr id="1" name="Picture 1"/>
            <wp:cNvGraphicFramePr>
              <a:graphicFrameLocks noChangeAspect="1"/>
            </wp:cNvGraphicFramePr>
            <a:graphic>
              <a:graphicData uri="http://schemas.openxmlformats.org/drawingml/2006/picture">
                <pic:pic>
                  <pic:nvPicPr>
                    <pic:cNvPr id="0" name="S 2695-2024 karta.png"/>
                    <pic:cNvPicPr/>
                  </pic:nvPicPr>
                  <pic:blipFill>
                    <a:blip r:embed="rId16"/>
                    <a:stretch>
                      <a:fillRect/>
                    </a:stretch>
                  </pic:blipFill>
                  <pic:spPr>
                    <a:xfrm>
                      <a:off x="0" y="0"/>
                      <a:ext cx="4545761" cy="5724000"/>
                    </a:xfrm>
                    <a:prstGeom prst="rect"/>
                  </pic:spPr>
                </pic:pic>
              </a:graphicData>
            </a:graphic>
          </wp:inline>
        </w:drawing>
      </w:r>
    </w:p>
    <w:p>
      <w:pPr>
        <w:pStyle w:val="Caption"/>
        <w:spacing w:after="240"/>
      </w:pPr>
      <w:r>
        <w:t>Figur 1. Fyndplatser för naturvårdsarter i och inom 22 meter från samrådsanmälan. Markörer utan svart kant är placerade på fyndplatsen. Markörer med svart kant är placerade vid sidan av fyndplatsen och har ett svart streck som visar fyndplatsens exakta position. Kartans mittpunktskoordinat är N 6547032, E 671944 i SWEREF 99 TM.</w:t>
      </w:r>
    </w:p>
    <w:p>
      <w:r>
        <w:t>I och inom 22 meter från samrådsanmälan finns fynd av 8 naturvårdsarter, varav 3 är rödlistade, 3 är fridlysta, 5 är typiska (T) och 3 är signalarter (S): skogskorn (VU, T), blekticka (NT, T), svinrot (NT), hasselsopp (S), skogsknipprot (S, T, §8), svart trolldruva (S, T), blåsippa (T, §9)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Skogskorn (VU) </w:t>
      </w:r>
      <w:r>
        <w:t xml:space="preserve">är ett mycket sällsynt och värmeälskande lundgräs som växer på kalkhaltig mark i halvöppna ödellövskogar och extremrika kalkbarrskogar. Arten är placerad högst upp i Skogsstyrelsens värdepyramid för bedömning av skog med höga naturvärden. Dess växtplatser bör ej betas eller slutavverkas. Skogskorn är typisk art för </w:t>
      </w:r>
      <w:r>
        <w:rPr>
          <w:i/>
        </w:rPr>
        <w:t>9020 Nordlig ädellövskog</w:t>
      </w:r>
      <w:r>
        <w:t xml:space="preserve"> (SLU Artdatabanken, 2024; Nitare &amp; Skogsstyrelsen, 2019).</w:t>
      </w:r>
    </w:p>
    <w:p>
      <w:r>
        <w:rPr>
          <w:b/>
        </w:rPr>
        <w:t>Blekticka (NT)</w:t>
      </w:r>
      <w:r>
        <w:t xml:space="preserve"> är en bra signalart som visar på gamla ekar och skogsområden med höga naturvärden. Arten missgynnas av avverkning av värdträd och passande värdträd runt fyndplatserna. Den hotas på sikt av att ekbestånd ersätts med andra trädslag eller spontant invaderas av gran. Blekticka är typisk art för </w:t>
      </w:r>
      <w:r>
        <w:rPr>
          <w:i/>
        </w:rPr>
        <w:t>9160 Näringsrik ekskog</w:t>
      </w:r>
      <w:r>
        <w:t xml:space="preserve"> och </w:t>
      </w:r>
      <w:r>
        <w:rPr>
          <w:i/>
        </w:rPr>
        <w:t>9190 Näringsfattig ekskog</w:t>
      </w:r>
      <w:r>
        <w:t xml:space="preserve"> (SLU Artdatabanken, 2024; Nitare &amp; Skogsstyrelsen, 2019).</w:t>
      </w:r>
    </w:p>
    <w:p>
      <w:r>
        <w:rPr>
          <w:b/>
        </w:rPr>
        <w:t>Skogsknipprot (§8)</w:t>
      </w:r>
      <w:r>
        <w:t xml:space="preserve"> är fridlyst enligt 8§ artskyddsförordningen och typisk art för </w:t>
      </w:r>
      <w:r>
        <w:rPr>
          <w:i/>
        </w:rPr>
        <w:t>9050 Näringsrik granskog</w:t>
      </w:r>
      <w:r>
        <w:t xml:space="preserve">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