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16618-2024 i Håbo kommun</w:t>
      </w:r>
    </w:p>
    <w:p>
      <w:r>
        <w:t>Detta dokument behandlar höga naturvärden i avverkningsanmälan A 16618-2024 i Håbo kommun. Denna avverkningsanmälan inkom 2024-04-26 00:00:00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prakttagging (EN), backklöver (NT), nästrot (S, §8)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5433"/>
            <wp:docPr id="1" name="Picture 1"/>
            <wp:cNvGraphicFramePr>
              <a:graphicFrameLocks noChangeAspect="1"/>
            </wp:cNvGraphicFramePr>
            <a:graphic>
              <a:graphicData uri="http://schemas.openxmlformats.org/drawingml/2006/picture">
                <pic:pic>
                  <pic:nvPicPr>
                    <pic:cNvPr id="0" name="A 16618-2024 karta.png"/>
                    <pic:cNvPicPr/>
                  </pic:nvPicPr>
                  <pic:blipFill>
                    <a:blip r:embed="rId16"/>
                    <a:stretch>
                      <a:fillRect/>
                    </a:stretch>
                  </pic:blipFill>
                  <pic:spPr>
                    <a:xfrm>
                      <a:off x="0" y="0"/>
                      <a:ext cx="5486400" cy="4125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6618624, E 642019 i SWEREF 99 TM.</w:t>
      </w:r>
    </w:p>
    <w:p>
      <w:r>
        <w:rPr>
          <w:b/>
        </w:rPr>
        <w:t>Prakttagging (EN)</w:t>
      </w:r>
      <w:r>
        <w:t>, rödlistad som starkt hotad, är en karaktärssvamp för slutna almlundar på mulljordar, där den växer på döda, kullfallna eller ännu stående almar, sällan även på ask och hassel. Den behöver kontinuerlig tillgång till döda träd i slutna bestånd och den växer inte på döda almar i parker och liknande öppna eller halvöppna miljöer. Lokaler där svampen finns måste undantas från skogsbruk. Även röjning, städning och avverkning i närheten av lokalerna utgör ett hot då det leder till att substratbrist uppstår. Arten är placerad högst upp i Skogsstyrelsens värdepyramid för bedömning av skog med höga naturvärden (SLU Artdatabanken, 2024; Nitare &amp; Skogsstyrelsen, 2019).</w:t>
      </w:r>
    </w:p>
    <w:p>
      <w:pPr>
        <w:pStyle w:val="Heading1"/>
      </w:pPr>
      <w:r>
        <w:t>Fridlysta arter</w:t>
      </w:r>
    </w:p>
    <w:p>
      <w:r>
        <w:t>Följande fridlysta arter har sina livsmiljöer och växtplatser i den avverkningsanmälda skogen: nästrot (S,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