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12427-2025 i Älvkarleby kommun</w:t>
      </w:r>
    </w:p>
    <w:p>
      <w:r>
        <w:t>Detta dokument behandlar höga naturvärden i avverkningsanmälan A 12427-2025 i Älvkarleby kommun. Denna avverkningsanmälan inkom 2025-03-14 10:59:31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guckusko (S, §7).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93264"/>
            <wp:docPr id="1" name="Picture 1"/>
            <wp:cNvGraphicFramePr>
              <a:graphicFrameLocks noChangeAspect="1"/>
            </wp:cNvGraphicFramePr>
            <a:graphic>
              <a:graphicData uri="http://schemas.openxmlformats.org/drawingml/2006/picture">
                <pic:pic>
                  <pic:nvPicPr>
                    <pic:cNvPr id="0" name="A 12427-2025 karta.png"/>
                    <pic:cNvPicPr/>
                  </pic:nvPicPr>
                  <pic:blipFill>
                    <a:blip r:embed="rId16"/>
                    <a:stretch>
                      <a:fillRect/>
                    </a:stretch>
                  </pic:blipFill>
                  <pic:spPr>
                    <a:xfrm>
                      <a:off x="0" y="0"/>
                      <a:ext cx="5486400" cy="54932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6722167, E 637009 i SWEREF 99 TM.</w:t>
      </w:r>
    </w:p>
    <w:p>
      <w:pPr>
        <w:pStyle w:val="Heading1"/>
      </w:pPr>
      <w:r>
        <w:t>Fridlysta arter</w:t>
      </w:r>
    </w:p>
    <w:p>
      <w:r>
        <w:t>Följande fridlysta arter har sina livsmiljöer och växtplatser i den avverkningsanmälda skogen: guckusko (S, §7).</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(SLU Artdatabanken, 2021; IUCN, 2011).</w:t>
      </w:r>
    </w:p>
    <w:p>
      <w:r>
        <w:t>I BILAGA 1 finns mer detaljerad information om ekologi samt krav på livsmiljö hos fridlysta arter.</w:t>
      </w:r>
    </w:p>
    <w:p>
      <w:r>
        <w:br w:type="page"/>
      </w:r>
    </w:p>
    <w:p>
      <w:pPr>
        <w:pStyle w:val="Title"/>
      </w:pPr>
      <w:r>
        <w:t>BILAGA 1 – Fridlysta arter</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