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57734-2025 i Älvkarleby kommun</w:t>
      </w:r>
    </w:p>
    <w:p>
      <w:r>
        <w:t>Detta klagomål behandlar höga naturvärden i avverkningsanmälan A 57734-2025 i Älvkarleby kommun som inkom 2025-11-20 och omfattar 1,3 ha.</w:t>
      </w:r>
    </w:p>
    <w:p>
      <w:pPr>
        <w:pStyle w:val="Caption"/>
      </w:pPr>
      <w:r>
        <w:drawing>
          <wp:inline xmlns:a="http://schemas.openxmlformats.org/drawingml/2006/main" xmlns:pic="http://schemas.openxmlformats.org/drawingml/2006/picture">
            <wp:extent cx="5486400" cy="5328030"/>
            <wp:docPr id="1" name="Picture 1"/>
            <wp:cNvGraphicFramePr>
              <a:graphicFrameLocks noChangeAspect="1"/>
            </wp:cNvGraphicFramePr>
            <a:graphic>
              <a:graphicData uri="http://schemas.openxmlformats.org/drawingml/2006/picture">
                <pic:pic>
                  <pic:nvPicPr>
                    <pic:cNvPr id="0" name="A 57734-2025 karta.png"/>
                    <pic:cNvPicPr/>
                  </pic:nvPicPr>
                  <pic:blipFill>
                    <a:blip r:embed="rId16"/>
                    <a:stretch>
                      <a:fillRect/>
                    </a:stretch>
                  </pic:blipFill>
                  <pic:spPr>
                    <a:xfrm>
                      <a:off x="0" y="0"/>
                      <a:ext cx="5486400" cy="532803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6724350, E 635704 i SWEREF 99 TM.</w:t>
      </w:r>
    </w:p>
    <w:p>
      <w:r>
        <w:t>Inom 21 meter från avverkningsanmälan finns fynd av 1 naturvårdsarter, varav 1 är rödlistad och 1 är fridlyst: gölgroda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Gölgroda (VU, §4a)</w:t>
      </w:r>
      <w:r>
        <w:t xml:space="preserve">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Gölgroda – ekologi samt krav på livsmiljön</w:t>
      </w:r>
    </w:p>
    <w:p>
      <w:r>
        <w:t>Gölgroda (VU, §4a)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Gölgrodan är troligen en av de mest värmeälskande amfibierna i Europa. Detta värmebehov märks bl.a. genom att arten börjar sin lek cirka två veckor efter det att de andra amfibiearterna i området har lekt färdigt. Gölgrodorna lämnar sina vinterkvarter (markhåligheter i skogbeklädd blockmark) i slutet av april och rör sig ner till sin lekdamm. Leken äger vanligen rum från mitten av maj till midsommarhelgen. Artens begränsade rörlighet gör att genflöde i stort sett bara förekommer mellan närliggande lokaler (SLU Artdatabanken, 2024; Lindgren, 2014).</w:t>
      </w:r>
    </w:p>
    <w:p>
      <w:r>
        <w:t>Dikning, skyddsdikning, samt förekomst av kalavverkade ytor större än 5 hektar har visat sig minska spridningen av grodor mellan lokaler vilket gör att lokaler isoleras och populationer dör ut i takt med att områdena blir mer ogästvänliga. Kalavverkning leder dessutom till ett förändrat lokalklimat då ett förlorat träd- och buskskikt kan leda till sänkta temperaturer genom att lokalerna blir mer vindexponerade. Även lokalklimatet vid övervintringsplatserna kan påverkas negativt eftersom hyggesrensning tar bort fukthållande vegetation och påverkar lokalklimatet ännu mer (SLU Artdatabanken, 2024; Söderman &amp; Länsstyrelsen i Uppsala län, 2019; Lindgren, 2014; Sjögren-Gulve &amp; Ray, 1996).</w:t>
      </w:r>
    </w:p>
    <w:p>
      <w:r>
        <w:t>På grund av att gölgrodans förekomst i Skandinavien är begränsad till relativt få lokaler i ett så pass geografiskt begränsat område, är artens känslighet för lokala miljöförändringar stor och utdöenderisken p.g.a. slumpmässiga populationsfluktuationer betydligt större än hos vitt spridda arter. Opåverkade områden där gölgrodelokaler ligger närmare varandra än 1 km måste bevaras opåverkade av dikning och kalhuggning för bibehållande av genflöde mellan lokalerna vilket minskar utdöenderisken (SLU Artdatabanken, 2024).</w:t>
      </w:r>
    </w:p>
    <w:p>
      <w:pPr>
        <w:pStyle w:val="Heading2"/>
      </w:pPr>
      <w:r>
        <w:t>Referenser – gölgroda</w:t>
      </w:r>
    </w:p>
    <w:p>
      <w:r>
        <w:t xml:space="preserve">Lindgren, B.,2014. </w:t>
      </w:r>
      <w:r>
        <w:rPr>
          <w:i/>
        </w:rPr>
        <w:t>Åtgärdsprogram för gölgroda 2014–2019 (Pelophylax lessonae)</w:t>
      </w:r>
      <w:r>
        <w:t>. Naturvårdsverket. Rapport: 6631). https://www.naturvardsverket.se/978-91-620-6631-4</w:t>
      </w:r>
    </w:p>
    <w:p>
      <w:r>
        <w:t xml:space="preserve">Sjögren-Gulve, P. &amp; Ray, C., 1996. </w:t>
      </w:r>
      <w:r>
        <w:rPr>
          <w:i/>
        </w:rPr>
        <w:t>Using logistic regression to model metapopulation dynamics: Large scale forestry extirpates the pool frog</w:t>
      </w:r>
      <w:r>
        <w:t>. I: McCullough, D.R. (red.) Metapopulations and wildlife conservation. Island Press, Washington, DC. Sid. 111–137</w:t>
      </w:r>
    </w:p>
    <w:p>
      <w:r>
        <w:t>SLU Artdatabanken, 2024.</w:t>
      </w:r>
      <w:r>
        <w:rPr>
          <w:i/>
        </w:rPr>
        <w:t xml:space="preserve">  Artfakta: gölgroda (Pelophylax lessonae). </w:t>
      </w:r>
      <w:r>
        <w:t>https://artfakta.se/taxa/100119</w:t>
      </w:r>
    </w:p>
    <w:p>
      <w:r>
        <w:t>Söderman, F. &amp; Länsstyrelsen i Uppsala län, 2019.</w:t>
      </w:r>
      <w:r>
        <w:rPr>
          <w:i/>
        </w:rPr>
        <w:t xml:space="preserve"> Redovisning av åtgärdsprogram för gölgroda, 2014-2019.</w:t>
      </w:r>
      <w:r>
        <w:t xml:space="preserve"> Naturvårdsverket.</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