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51149-2025 i Älvkarleby kommun</w:t>
      </w:r>
    </w:p>
    <w:p>
      <w:r>
        <w:t>Denna tillsynsbegäran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25 naturvårdsarter, varav 15 är rödlistade, 2 är fridlysta, 11 är typiska (T) och 9 är signalarter (S): dvärgtaggsvamp (EN), duvspindling (VU), gyllenspindling (VU), kopparspindling (VU), läderdoftande fingersvamp (VU), Phellodon melilotinus (VU), fjällig taggsvamp s.str. (NT), orange taggsvamp (NT, T), persiljespindling (NT), puderspindling (NT), rödfläckig zontaggsvamp (NT), skarp dropptaggsvamp (NT), svart taggsvamp (NT), ullticka (NT, T), vårärt (NT, T), guldlockmossa (S, T), mindre märgborre (S, T), mörk husmossa (S, T), olivspindling (S), platt fjädermossa (S, T), skogsknipprot (S, T, §8), stubbspretmossa (S, T), tibast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Dvärgtaggsvamp (EN)</w:t>
      </w:r>
      <w:r>
        <w:t xml:space="preserve"> är en starkt hotad art som är placerad högst upp i Skogsstyrelsens värdepyramid för skog med höga naturvärden. Arten förekommer på kalkrik eller annan basiskt påverkad mark där den bildar mykorrhiza med gran, möjligen även med tall, i äldre barrskogar med lång kontinuitet. Den totala populationen i landet har minskat kraftigt och bedöms fortsätta minska till följd av avverkning av kalkbarrskogar och fortsatt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ullticka (NT, T), vårärt (NT, T), guldlockmossa (S, T), mindre märgborre (S, T), mörk husmossa (S, T), platt fjädermossa (S, T),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