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55967-2019 i Älvkarleby kommun</w:t>
      </w:r>
    </w:p>
    <w:p>
      <w:r>
        <w:t>Detta dokument behandlar höga naturvärden i avverkningsanmälan A 55967-2019 i Älvkarleby kommun. Denna avverkningsanmälan inkom 2019-10-21 och omfattar 23,4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knottblomster (VU, §8), dofttaggsvamp (NT), storgröe (NT), anisspindling (S), dunmossa (S), dvärghäxört (S), myskmadra (S), nästrot (S, §8), rödgul trumpetsvamp (S), sårläka (S), vätteros (S) och grönvit nattviol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9860"/>
            <wp:docPr id="1" name="Picture 1"/>
            <wp:cNvGraphicFramePr>
              <a:graphicFrameLocks noChangeAspect="1"/>
            </wp:cNvGraphicFramePr>
            <a:graphic>
              <a:graphicData uri="http://schemas.openxmlformats.org/drawingml/2006/picture">
                <pic:pic>
                  <pic:nvPicPr>
                    <pic:cNvPr id="0" name="A 55967-2019 karta.png"/>
                    <pic:cNvPicPr/>
                  </pic:nvPicPr>
                  <pic:blipFill>
                    <a:blip r:embed="rId16"/>
                    <a:stretch>
                      <a:fillRect/>
                    </a:stretch>
                  </pic:blipFill>
                  <pic:spPr>
                    <a:xfrm>
                      <a:off x="0" y="0"/>
                      <a:ext cx="5486400" cy="36098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6707267, E 628793 i SWEREF 99 TM.</w:t>
      </w:r>
    </w:p>
    <w:p>
      <w:r>
        <w:rPr>
          <w:b/>
        </w:rPr>
        <w:t xml:space="preserve">Dofttaggsvamp (NT) </w:t>
      </w:r>
      <w:r>
        <w:t>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(SLU Artdatabanken, 2024).</w:t>
      </w:r>
    </w:p>
    <w:p>
      <w:r>
        <w:rPr>
          <w:b/>
        </w:rPr>
        <w:t>Dunmossa</w:t>
      </w:r>
      <w:r>
        <w:t xml:space="preserve"> är en mycket bra signalart på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(SLU Artdatabanken, 2024; Nitare &amp; Skogsstyrelsen, 2019).</w:t>
      </w:r>
    </w:p>
    <w:p>
      <w:r>
        <w:rPr>
          <w:b/>
        </w:rPr>
        <w:t xml:space="preserve">Dvärghäxört </w:t>
      </w:r>
      <w:r>
        <w:t>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(SLU Artdatabanken, 2024; Nitare &amp; Skogsstyrelsen, 2019).</w:t>
      </w:r>
    </w:p>
    <w:p>
      <w:r>
        <w:rPr>
          <w:b/>
        </w:rPr>
        <w:t xml:space="preserve">Storgröe (NT) </w:t>
      </w:r>
      <w:r>
        <w:t>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(SLU Artdatabanken, 2024).</w:t>
      </w:r>
    </w:p>
    <w:p>
      <w:r>
        <w:rPr>
          <w:b/>
        </w:rPr>
        <w:t>Sårläka</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Sårläka är värdväxt för den rödlistade fjärilen sårläkeplattmal (NT) (SLU Artdatabanken, 2024; Nitare &amp; Skogsstyrelsen, 2019).</w:t>
      </w:r>
    </w:p>
    <w:p>
      <w:pPr>
        <w:pStyle w:val="Heading1"/>
      </w:pPr>
      <w:r>
        <w:t>Fridlysta arter</w:t>
      </w:r>
    </w:p>
    <w:p>
      <w:r>
        <w:t>Följande fridlysta arter har sina livsmiljöer och växtplatser i den avverkningsanmälda skogen: knottblomster (VU, §8), nästrot (S, §8) och grönvit nattviol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4223657"/>
            <wp:docPr id="2" name="Picture 2"/>
            <wp:cNvGraphicFramePr>
              <a:graphicFrameLocks noChangeAspect="1"/>
            </wp:cNvGraphicFramePr>
            <a:graphic>
              <a:graphicData uri="http://schemas.openxmlformats.org/drawingml/2006/picture">
                <pic:pic>
                  <pic:nvPicPr>
                    <pic:cNvPr id="0" name="A 55967-2019 karta knärot.png"/>
                    <pic:cNvPicPr/>
                  </pic:nvPicPr>
                  <pic:blipFill>
                    <a:blip r:embed="rId17"/>
                    <a:stretch>
                      <a:fillRect/>
                    </a:stretch>
                  </pic:blipFill>
                  <pic:spPr>
                    <a:xfrm>
                      <a:off x="0" y="0"/>
                      <a:ext cx="5486400" cy="422365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6707267, E 628793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