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5209-2024 i Älvkarleby kommun</w:t>
      </w:r>
    </w:p>
    <w:p>
      <w:r>
        <w:t>Detta dokument behandlar höga naturvärden i avverkningsanmälan A 5209-2024 i Älvkarleby kommun. Denna avverkningsanmälan inkom 2024-02-08 och omfattar 6,3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1 naturvårdsarter hittats: guckusko (S, §7).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2053466"/>
            <wp:docPr id="1" name="Picture 1"/>
            <wp:cNvGraphicFramePr>
              <a:graphicFrameLocks noChangeAspect="1"/>
            </wp:cNvGraphicFramePr>
            <a:graphic>
              <a:graphicData uri="http://schemas.openxmlformats.org/drawingml/2006/picture">
                <pic:pic>
                  <pic:nvPicPr>
                    <pic:cNvPr id="0" name="A 5209-2024 karta.png"/>
                    <pic:cNvPicPr/>
                  </pic:nvPicPr>
                  <pic:blipFill>
                    <a:blip r:embed="rId16"/>
                    <a:stretch>
                      <a:fillRect/>
                    </a:stretch>
                  </pic:blipFill>
                  <pic:spPr>
                    <a:xfrm>
                      <a:off x="0" y="0"/>
                      <a:ext cx="5486400" cy="205346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6720186, E 635132 i SWEREF 99 TM.</w:t>
      </w:r>
    </w:p>
    <w:p>
      <w:pPr>
        <w:pStyle w:val="Heading1"/>
      </w:pPr>
      <w:r>
        <w:t>Fridlysta arter</w:t>
      </w:r>
    </w:p>
    <w:p>
      <w:r>
        <w:t>Följande fridlysta arter har sina livsmiljöer och växtplatser i den avverkningsanmälda skogen: guckusko (S, §7).</w:t>
      </w:r>
    </w:p>
    <w:p>
      <w:r>
        <w:rPr>
          <w:b/>
        </w:rPr>
        <w:t>Guckusko (§7)</w:t>
      </w:r>
      <w:r>
        <w:t xml:space="preserve"> omfattas av EU:s art- och habitatdirektiv och är fridlyst enligt §7 Artskyddsförordningen (bilaga 1) vilket innebär att hela dess livsmiljö ska bevaras. Guckusko är beroende av hög och jämn luftfuktighet i gamla, ostörda skogsmiljöer och är känslig för snabba förändringar av ljus-/vindförhållanden eller uttorkning. Den förekommer främst i skogar som inte påverkats av kraftig störning, till exempel slutavverkning, markberedning, körskador, gödsling eller dikning. Guckusko är rödlistad som nära hotad (NT) i den europeiska rödlistan och Sverige hyser mer än halva den beräknade populationen av arten i EU, vilket innebär att vi har ett internationellt ansvar för arten (SLU Artdatabanken, 2021; IUCN, 2011).</w:t>
      </w:r>
    </w:p>
    <w:p>
      <w:r>
        <w:t>I BILAGA 1 finns mer detaljerad information om ekologi samt krav på livsmiljö hos fridlysta arter.</w:t>
      </w:r>
    </w:p>
    <w:p>
      <w:r>
        <w:br w:type="page"/>
      </w:r>
    </w:p>
    <w:p>
      <w:pPr>
        <w:pStyle w:val="Title"/>
      </w:pPr>
      <w:r>
        <w:t>BILAGA 1 – Fridlysta arter</w:t>
      </w:r>
    </w:p>
    <w:p>
      <w:pPr>
        <w:pStyle w:val="Heading1"/>
      </w:pPr>
      <w:r>
        <w:t>Guckusko – ekologi samt krav på livsmiljön</w:t>
      </w:r>
    </w:p>
    <w:p>
      <w:r>
        <w:t>Guckusko omfattas av EU:s art- och habitatdirektiv och är fridlyst enligt §7 Artskyddsförordningen (bilaga 1) vilket innebär att hela dess livsmiljö ska bevaras. Guckusko är beroende av hög och jämn luftfuktighet i gamla, ostörda skogsmiljöer och är känslig för snabba förändringar av ljus-/vindförhållanden eller uttorkning. Den förekommer främst i skogar som inte påverkats av kraftig störning, till exempel slutavverkning, markberedning, körskador, gödsling eller dikning (SLU Artdatabanken, 2021).</w:t>
      </w:r>
    </w:p>
    <w:p>
      <w:r>
        <w:t>Dikning och slutavverkning av guckuskons växtplatser är ett direkt hot mot arten och bör undvikas. Kalavverkning missgynnar arten, dels om hyggesavfall lämnas, vilket kan kväva enskilda bestånd, dels indirekt genom att mer konkurrensstarka arter gynnas. Körskador av skogsmaskiner och hyggesplöjning kan leda till lokalt ändrad hydrologi, då de mullrika, fuktiga jordarna är mjuka. Sverige hyser mer än halva den beräknade populationen av arten i EU, vilket innebär att vi har ett internationellt ansvar för arten (SLU Artdatabanken, 2021).</w:t>
      </w:r>
    </w:p>
    <w:p>
      <w:pPr>
        <w:pStyle w:val="Heading2"/>
      </w:pPr>
      <w:r>
        <w:t>Referenser – guckusko</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2025-07-12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