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43781-2026 i Älvkarleby kommun</w:t>
      </w:r>
    </w:p>
    <w:p>
      <w:r>
        <w:t>Denna tillsynsbegäran behandlar höga naturvärden i avverkningsanmälan A 43781-2026 i Älvkarleby kommun som inkom 2026-10-21 och omfattar 1,1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43781-2026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6725868, E 642021 i SWEREF 99 TM.</w:t>
      </w:r>
    </w:p>
    <w:p>
      <w:r>
        <w:t>Inom 24 meter från avverkningsanmälan finns fynd av 3 naturvårdsarter, varav 1 är rödlistad, 2 är typiska (T) och 2 är signalarter (S): skogskorn (VU, T), fransig jordstjärna (S)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Skogskorn (VU) </w:t>
      </w:r>
      <w:r>
        <w:t xml:space="preserve">är ett mycket sällsynt och värmeälskande lundgräs som växer på kalkhaltig mark i halvöppna ödellövskogar och extremrika kalkbarrskogar. Arten är placerad högst upp i Skogsstyrelsens värdepyramid för bedömning av skog med höga naturvärden. Dess växtplatser bör ej betas eller slutavverkas. Skogskorn är typisk art för </w:t>
      </w:r>
      <w:r>
        <w:rPr>
          <w:i/>
        </w:rPr>
        <w:t>9020 Nordlig ädellövskog</w:t>
      </w:r>
      <w:r>
        <w:t xml:space="preserve"> (SLU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