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3260-2025 i Älvkarleby kommun</w:t>
      </w:r>
    </w:p>
    <w:p>
      <w:r>
        <w:t>Detta klagomål behandlar höga naturvärden i samrådsanmälan S 3260-2025 i Älvkarleby kommun som inkom 2025-11-21 och omfattar 82,0 ha.</w:t>
      </w:r>
    </w:p>
    <w:p>
      <w:pPr>
        <w:pStyle w:val="Caption"/>
      </w:pPr>
      <w:r>
        <w:drawing>
          <wp:inline xmlns:a="http://schemas.openxmlformats.org/drawingml/2006/main" xmlns:pic="http://schemas.openxmlformats.org/drawingml/2006/picture">
            <wp:extent cx="5401410" cy="5724000"/>
            <wp:docPr id="1" name="Picture 1"/>
            <wp:cNvGraphicFramePr>
              <a:graphicFrameLocks noChangeAspect="1"/>
            </wp:cNvGraphicFramePr>
            <a:graphic>
              <a:graphicData uri="http://schemas.openxmlformats.org/drawingml/2006/picture">
                <pic:pic>
                  <pic:nvPicPr>
                    <pic:cNvPr id="0" name="S 3260-2025 karta.png"/>
                    <pic:cNvPicPr/>
                  </pic:nvPicPr>
                  <pic:blipFill>
                    <a:blip r:embed="rId16"/>
                    <a:stretch>
                      <a:fillRect/>
                    </a:stretch>
                  </pic:blipFill>
                  <pic:spPr>
                    <a:xfrm>
                      <a:off x="0" y="0"/>
                      <a:ext cx="5401410"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6716129, E 634415 i SWEREF 99 TM.</w:t>
      </w:r>
    </w:p>
    <w:p>
      <w:r>
        <w:t>I och inom 25 meter från samrådsanmälan finns fynd av 15 naturvårdsarter, varav 10 är rödlistade, 6 är fridlysta, 2 är typiska (T) och 1 är signalart (S): stor bockrot (EN), fältgentiana (VU), kattunvisslare (VU), väddnätfjäril (VU, §6), ängsblåvinge (VU), enkelbeckasin (NT, §4), månlåsbräken (NT), skogsklocka (NT), turkos blåvinge (NT), vårärt (NT, T), vätteros (S, T), huggorm (§6), kopparödla (§6), grönvit nattviol (§8)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