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61354-2019 i Älvkarleby kommun</w:t>
      </w:r>
    </w:p>
    <w:p>
      <w:r>
        <w:t>Detta dokument behandlar höga naturvärden i avverkningsanmälan A 61354-2019 i Älvkarleby kommun. Denna avverkningsanmälan inkom 2019-11-14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olivspindling (S), skogsknipprot (S, §8), tvåblad (S, §8), Dactylorhiza incarnata subsp. incarnata (§8)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9788"/>
            <wp:docPr id="1" name="Picture 1"/>
            <wp:cNvGraphicFramePr>
              <a:graphicFrameLocks noChangeAspect="1"/>
            </wp:cNvGraphicFramePr>
            <a:graphic>
              <a:graphicData uri="http://schemas.openxmlformats.org/drawingml/2006/picture">
                <pic:pic>
                  <pic:nvPicPr>
                    <pic:cNvPr id="0" name="A 61354-2019 karta.png"/>
                    <pic:cNvPicPr/>
                  </pic:nvPicPr>
                  <pic:blipFill>
                    <a:blip r:embed="rId16"/>
                    <a:stretch>
                      <a:fillRect/>
                    </a:stretch>
                  </pic:blipFill>
                  <pic:spPr>
                    <a:xfrm>
                      <a:off x="0" y="0"/>
                      <a:ext cx="5486400" cy="31797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6713000, E 631663 i SWEREF 99 TM.</w:t>
      </w:r>
    </w:p>
    <w:p>
      <w:pPr>
        <w:pStyle w:val="Heading1"/>
      </w:pPr>
      <w:r>
        <w:t>Fridlysta arter</w:t>
      </w:r>
    </w:p>
    <w:p>
      <w:r>
        <w:t>Följande fridlysta arter har sina livsmiljöer och växtplatser i den avverkningsanmälda skogen: skogsknipprot (S, §8), tvåblad (S, §8), Dactylorhiza incarnata subsp. incarnata (§8)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