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58719-2024 i Älvkarleby kommun</w:t>
      </w:r>
    </w:p>
    <w:p>
      <w:r>
        <w:t>Detta klagomål behandlar höga naturvärden i avverkningsanmälan A 58719-2024 i Älvkarleby kommun som inkom 2024-12-09 och omfattar 60,6 ha.</w:t>
      </w:r>
    </w:p>
    <w:p>
      <w:pPr>
        <w:pStyle w:val="Caption"/>
      </w:pPr>
      <w:r>
        <w:drawing>
          <wp:inline xmlns:a="http://schemas.openxmlformats.org/drawingml/2006/main" xmlns:pic="http://schemas.openxmlformats.org/drawingml/2006/picture">
            <wp:extent cx="5217188" cy="5724000"/>
            <wp:docPr id="1" name="Picture 1"/>
            <wp:cNvGraphicFramePr>
              <a:graphicFrameLocks noChangeAspect="1"/>
            </wp:cNvGraphicFramePr>
            <a:graphic>
              <a:graphicData uri="http://schemas.openxmlformats.org/drawingml/2006/picture">
                <pic:pic>
                  <pic:nvPicPr>
                    <pic:cNvPr id="0" name="A 58719-2024 karta.png"/>
                    <pic:cNvPicPr/>
                  </pic:nvPicPr>
                  <pic:blipFill>
                    <a:blip r:embed="rId16"/>
                    <a:stretch>
                      <a:fillRect/>
                    </a:stretch>
                  </pic:blipFill>
                  <pic:spPr>
                    <a:xfrm>
                      <a:off x="0" y="0"/>
                      <a:ext cx="521718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6706174, E 628412 i SWEREF 99 TM.</w:t>
      </w:r>
    </w:p>
    <w:p>
      <w:r>
        <w:t>I och inom 24 meter från avverkningsanmälan finns fynd av 45 naturvårdsarter, varav 22 är rödlistade, 13 är fridlysta, 23 är typiska (T) och 14 är signalarter (S): ask (EN), skogsalm (EN), aspfjädermossa (VU, T), brunskaftad blekspik (VU, T), dunmossa (NT, T), flockig puderskivling (NT), grynig filtlav (NT, T), grönsångare (NT, §4), gul dropplav (NT), gullpudra (NT, T), gultoppig fingersvamp (NT), järnsparv (NT, §4), lunglav (NT, T), rutskinn (NT, T), rödvingetrast (NT, §4), skogshare (NT), skogssvingel (NT, T), storgröe (NT, T), stubbtrådmossa (NT), sumpviol (NT, T), talltita (NT, §4), vedtrappmossa (NT, T), blek puderskivling (S), dvärghäxört (S, T), jättesvampmal (S), kalktallört (S), lindskål (S), myskmadra (S, T), rödgul trumpetsvamp (S), scharlakansvårskål agg. (S), springkorn (S, T), svart trolldruva (S, T), tibast (S, T), trubbfjädermossa (S, T), underviol (S, T), vätteros (S, T), blåsippa (T, §9), gråspett (T, §4), järpe (T, §4), mindre flugsnappare (T, §4), kungsfågel (§4), svartvit flugsnappare (§4), trana (§4), grönvit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Flockig puderskivling (NT) </w:t>
      </w:r>
      <w:r>
        <w:t>är en mycket sällsynt svamp, knuten till exklusiva miljöer. Den lever som nedbrytare på förna i ädellövskog och blandlövskog på näringsrik fuktig och kalkrik mulljord. Påträffas oftast med alm och ask, men även i bok- och alskog. Kalavverkning och gallring av lövskog är de främsta hoten. Markavvattning kan också missgynna arten. Artens växtplatser får inte kalavverkas, markavvattnas eller markberedas. Flockig puderskivling är placerad högst upp i Skogsstyrelsens värdepyramid för bedömning av skog med höga naturvärden och artens status på de kända lokalerna bör kontrolleras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