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27330-2025 i Älvkarleby kommun</w:t>
      </w:r>
    </w:p>
    <w:p>
      <w:r>
        <w:t>Denna tillsynsbegäran behandlar höga naturvärden i avverkningsanmälan A 27330-2025 i Älvkarleby kommun som inkom 2025-06-04 och omfattar 0,5 ha.</w:t>
      </w:r>
    </w:p>
    <w:p>
      <w:pPr>
        <w:pStyle w:val="Caption"/>
      </w:pPr>
      <w:r>
        <w:drawing>
          <wp:inline xmlns:a="http://schemas.openxmlformats.org/drawingml/2006/main" xmlns:pic="http://schemas.openxmlformats.org/drawingml/2006/picture">
            <wp:extent cx="5486400" cy="4472108"/>
            <wp:docPr id="1" name="Picture 1"/>
            <wp:cNvGraphicFramePr>
              <a:graphicFrameLocks noChangeAspect="1"/>
            </wp:cNvGraphicFramePr>
            <a:graphic>
              <a:graphicData uri="http://schemas.openxmlformats.org/drawingml/2006/picture">
                <pic:pic>
                  <pic:nvPicPr>
                    <pic:cNvPr id="0" name="A 27330-2025 karta.png"/>
                    <pic:cNvPicPr/>
                  </pic:nvPicPr>
                  <pic:blipFill>
                    <a:blip r:embed="rId16"/>
                    <a:stretch>
                      <a:fillRect/>
                    </a:stretch>
                  </pic:blipFill>
                  <pic:spPr>
                    <a:xfrm>
                      <a:off x="0" y="0"/>
                      <a:ext cx="5486400" cy="447210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6721165, E 633257 i SWEREF 99 TM.</w:t>
      </w:r>
    </w:p>
    <w:p>
      <w:r>
        <w:t>I och inom 23 meter från avverkningsanmälan finns fynd av 12 naturvårdsarter, varav 11 är rödlistade, 1 är fridlyst och 2 är typiska (T): bitter taggsvamp (EN), bredbrämad bastardsvärmare (VU), frygisk spindling (VU), grangråticka (VU, T), kopparspindling (VU), mindre bastardsvärmare (VU), sexfläckig bastardsvärmare (VU), tvillingspindling (VU), rosenticka (NT, T), skarp dropptaggsvamp (NT), tjockfotad fingersvamp (NT)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Frygisk spindling (VU) </w:t>
      </w:r>
      <w:r>
        <w:t>förekommer huvudsakligen i äldre kontinuitetsskog där den bildar mykorrhiza med tall, i kalktallskog och lavtallskog på torr, sandig och kalkrik mark. I norra Sverige även i örtrik barrblandskog på basisk grund. Den totala populationen i landet bedöms ha minskat och förväntas fortsätta minska på grund av slutavverkning av äldre kalkbarrskog. Minskningstakten överstiger gränsvärdet för sårbar (VU). Kalavverkning eller andra åtgärder inom skogsbruket som innebär att trädkontinuiteten bryts är det mest påtagliga hotet mot arten. Frygisk spindling är globalt rödlistad som sårbar (VU) vilket innebär att Sverige har ett internationellt ansvar för arten (SLU Artdatabanken, 2026; IUCN, 2021).</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