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30484-2025 i Älvkarleby kommun</w:t>
      </w:r>
    </w:p>
    <w:p>
      <w:r>
        <w:t>Detta dokument behandlar höga naturvärden i avverkningsanmälan A 30484-2025 i Älvkarleby kommun. Denna avverkningsanmälan inkom 2025-06-20 18:02:16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duvspindling (VU), gul lammticka (VU), kopparspindling (VU), läderdoftande fingersvamp (VU), odörspindling (NT), persiljespindling (NT), slåtterfibbla (NT), svart taggsvamp (NT), äggspindling (NT), anisspindling (S), barrfagerspindling (S), olivspindling (S), rödfläckig zontaggsvamp (S), skarp dropptaggsvamp (S), svart trolldruva (S) och gullviva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2965"/>
            <wp:docPr id="1" name="Picture 1"/>
            <wp:cNvGraphicFramePr>
              <a:graphicFrameLocks noChangeAspect="1"/>
            </wp:cNvGraphicFramePr>
            <a:graphic>
              <a:graphicData uri="http://schemas.openxmlformats.org/drawingml/2006/picture">
                <pic:pic>
                  <pic:nvPicPr>
                    <pic:cNvPr id="0" name="A 30484-2025 karta.png"/>
                    <pic:cNvPicPr/>
                  </pic:nvPicPr>
                  <pic:blipFill>
                    <a:blip r:embed="rId16"/>
                    <a:stretch>
                      <a:fillRect/>
                    </a:stretch>
                  </pic:blipFill>
                  <pic:spPr>
                    <a:xfrm>
                      <a:off x="0" y="0"/>
                      <a:ext cx="5486400" cy="39429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6720227, E 629892 i SWEREF 99 TM.</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Gul lammticka (VU)</w:t>
      </w:r>
      <w:r>
        <w:t xml:space="preserve"> bildar mykorrhiza med gran och förekommer i örtrik barrskog på kalkrik mark. Arten är placerad högst upp i Skogsstyrelsens värdepyramid för bedömning av skog med höga naturvärden och indikerar alltid skyddsvärda kalkgranskogar med höga naturvärden. Svampen tål inte slutavverkning och lokaler med gul lammticka bör skyddas som biotopskyddsområden eller naturreservat och lämnas för fri utveckling (SLU Artdatabanken, 2024; Nitare &amp; Skogsstyrelsen, 2019).</w:t>
      </w:r>
    </w:p>
    <w:p>
      <w:r>
        <w:rPr>
          <w:b/>
        </w:rPr>
        <w:t xml:space="preserve">Kopparspindling (VU) </w:t>
      </w:r>
      <w:r>
        <w:t>bildar mykorrhiza med tall och gran i äldre ängsgranskog på kalkrik mark, mer sällan i ren kalktallskog.</w:t>
      </w:r>
      <w:r>
        <w:rPr>
          <w:b/>
        </w:rPr>
        <w:t xml:space="preserve"> </w:t>
      </w:r>
      <w:r>
        <w:t>Minskningstakten uppgår till 30 % inom 50 år och överstiger gränsvärdet för Sårbar (VU) enligt A-kriteriet. (A2c+3c+4c).</w:t>
      </w:r>
      <w:r>
        <w:rPr>
          <w:b/>
        </w:rPr>
        <w:t xml:space="preserve"> </w:t>
      </w:r>
      <w:r>
        <w:t>Intensivt skogsbruk, särskilt kalavverkning och markberedning missgynnar arten och lokaler som även hyser ett stort antal andra hotade arter bör helt undantas från skogsbruk.</w:t>
      </w:r>
      <w:r>
        <w:rPr>
          <w:b/>
        </w:rPr>
        <w:t xml:space="preserve"> </w:t>
      </w:r>
      <w:r>
        <w:t>Kopparspindling är globalt rödlistad som nära hotad (NT) vilket innebär att Sverige har ett internationellt ansvar för arten (SLU Artdatabanken, 2024; IUCN, 2015).</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p>
      <w:pPr>
        <w:pStyle w:val="Heading1"/>
      </w:pPr>
      <w:r>
        <w:t>Fridlysta arter</w:t>
      </w:r>
    </w:p>
    <w:p>
      <w:r>
        <w:t>Följande fridlysta arter har sina livsmiljöer och växtplatser i den avverkningsanmälda skogen: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