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27330-2025 i Älvkarleby kommun</w:t>
      </w:r>
    </w:p>
    <w:p>
      <w:r>
        <w:t>Detta dokument behandlar höga naturvärden i avverkningsanmälan A 27330-2025 i Älvkarleby kommun. Denna avverkningsanmälan inkom 2025-06-04 14:37:27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bitter taggsvamp (VU), grangråticka (VU), kopparspindling (VU), tvillingspindling (VU), frygisk spindling (NT), rosenticka (NT), skarp dropptaggsvamp (S) och tallfingersvamp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30-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6721165, E 633257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Frygisk spindling (NT) </w:t>
      </w:r>
      <w:r>
        <w:t>bildar mykorrhiza med tall, i kalktallskog och lavtallskog på torr, sandig och kalkrik mark. Kalavverkning eller andra åtgärder inom skogsbruket som innebär att trädkontinuiteten bryts är det mest påtagliga hotet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