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62278-2025 i Älvkarleby kommun</w:t>
      </w:r>
    </w:p>
    <w:p>
      <w:r>
        <w:t>Denna tillsynsbegäran behandlar höga naturvärden i avverkningsanmälan A 62278-2025 i Älvkarleby kommun som inkom 2025-12-15 och omfattar 6,3 ha.</w:t>
      </w:r>
    </w:p>
    <w:p>
      <w:pPr>
        <w:pStyle w:val="Caption"/>
      </w:pPr>
      <w:r>
        <w:drawing>
          <wp:inline xmlns:a="http://schemas.openxmlformats.org/drawingml/2006/main" xmlns:pic="http://schemas.openxmlformats.org/drawingml/2006/picture">
            <wp:extent cx="5486400" cy="4568076"/>
            <wp:docPr id="1" name="Picture 1"/>
            <wp:cNvGraphicFramePr>
              <a:graphicFrameLocks noChangeAspect="1"/>
            </wp:cNvGraphicFramePr>
            <a:graphic>
              <a:graphicData uri="http://schemas.openxmlformats.org/drawingml/2006/picture">
                <pic:pic>
                  <pic:nvPicPr>
                    <pic:cNvPr id="0" name="A 62278-2025 karta.png"/>
                    <pic:cNvPicPr/>
                  </pic:nvPicPr>
                  <pic:blipFill>
                    <a:blip r:embed="rId16"/>
                    <a:stretch>
                      <a:fillRect/>
                    </a:stretch>
                  </pic:blipFill>
                  <pic:spPr>
                    <a:xfrm>
                      <a:off x="0" y="0"/>
                      <a:ext cx="5486400" cy="456807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6710708, E 633318 i SWEREF 99 TM.</w:t>
      </w:r>
    </w:p>
    <w:p>
      <w:r>
        <w:t>I och inom 9 meter från avverkningsanmälan finns fynd av 4 naturvårdsarter, varav 4 är rödlistade, 1 är fridlyst och 1 är typisk (T): knärot (VU, T, §8), rökfingersvamp (NT), vanlig sandviol (NT) och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5533942"/>
            <wp:docPr id="2" name="Picture 2"/>
            <wp:cNvGraphicFramePr>
              <a:graphicFrameLocks noChangeAspect="1"/>
            </wp:cNvGraphicFramePr>
            <a:graphic>
              <a:graphicData uri="http://schemas.openxmlformats.org/drawingml/2006/picture">
                <pic:pic>
                  <pic:nvPicPr>
                    <pic:cNvPr id="0" name="A 62278-2025 karta knärot.png"/>
                    <pic:cNvPicPr/>
                  </pic:nvPicPr>
                  <pic:blipFill>
                    <a:blip r:embed="rId17"/>
                    <a:stretch>
                      <a:fillRect/>
                    </a:stretch>
                  </pic:blipFill>
                  <pic:spPr>
                    <a:xfrm>
                      <a:off x="0" y="0"/>
                      <a:ext cx="5486400" cy="55339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6710708, E 633318 i SWEREF 99 TM.</w:t>
      </w:r>
    </w:p>
    <w:p>
      <w:r>
        <w:rPr>
          <w:b/>
        </w:rPr>
        <w:t xml:space="preserve">Rökfingersvamp (NT) </w:t>
      </w:r>
      <w:r>
        <w:t>förekommer på kalkrik mark, bland mossa och låg gräsvegetation i naturbetesmark, hackslåttmark, lund och ädellövskog. Alla kvarvarande betes- och slåttermarker där arten förekommer bör bevaras och hävdas på traditionellt sätt. Gödsling får ej förekomma. Där arten förekommer i skogsmark bör storskaligt skogsbruk undvikas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