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21700-2024 i Älvkarleby kommun</w:t>
      </w:r>
    </w:p>
    <w:p>
      <w:r>
        <w:t>Detta klagomål behandlar höga naturvärden i avverkningsanmälan A 21700-2024 i Älvkarleby kommun som inkom 2024-05-30 och omfattar 1,1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21700-2024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6713955, E 631359 i SWEREF 99 TM.</w:t>
      </w:r>
    </w:p>
    <w:p>
      <w:r>
        <w:t>I och inom 7 meter från avverkningsanmälan finns fynd av 3 naturvårdsarter, varav 2 är rödlistade och 1 är signalart (S): töcknig trymal (VU), skuggorangelav (NT) och scharlakansvårskål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Töcknig trymal (VU)</w:t>
      </w:r>
      <w:r>
        <w:t xml:space="preserve"> är en fjäril som har sina livsmiljöer i soliga, halvöppna skogar där kaprifol eller skogstry växer. Larven gör en stor blåsmina i bladen på kaprifol och skogstry under sommaren fram till augusti-september och övervintrar som puppa. Populationer av töcknig trymal kan slås ut av skogsavverkning eller av bortrensning av värdväxten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