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33463-2026 i Älvkarleby kommun</w:t>
      </w:r>
    </w:p>
    <w:p>
      <w:r>
        <w:t>Denna tillsynsbegäran behandlar höga naturvärden i avverkningsanmälan A 33463-2026 i Älvkarleby kommun som inkom 2026-08-13 och omfattar 12,4 ha.</w:t>
      </w:r>
    </w:p>
    <w:p>
      <w:pPr>
        <w:pStyle w:val="Caption"/>
      </w:pPr>
      <w:r>
        <w:drawing>
          <wp:inline xmlns:a="http://schemas.openxmlformats.org/drawingml/2006/main" xmlns:pic="http://schemas.openxmlformats.org/drawingml/2006/picture">
            <wp:extent cx="5352235" cy="5724000"/>
            <wp:docPr id="1" name="Picture 1"/>
            <wp:cNvGraphicFramePr>
              <a:graphicFrameLocks noChangeAspect="1"/>
            </wp:cNvGraphicFramePr>
            <a:graphic>
              <a:graphicData uri="http://schemas.openxmlformats.org/drawingml/2006/picture">
                <pic:pic>
                  <pic:nvPicPr>
                    <pic:cNvPr id="0" name="A 33463-2026 karta.png"/>
                    <pic:cNvPicPr/>
                  </pic:nvPicPr>
                  <pic:blipFill>
                    <a:blip r:embed="rId16"/>
                    <a:stretch>
                      <a:fillRect/>
                    </a:stretch>
                  </pic:blipFill>
                  <pic:spPr>
                    <a:xfrm>
                      <a:off x="0" y="0"/>
                      <a:ext cx="5352235" cy="57240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6718555, E 641414 i SWEREF 99 TM.</w:t>
      </w:r>
    </w:p>
    <w:p>
      <w:r>
        <w:t>I och inom 24 meter från avverkningsanmälan finns fynd av 14 naturvårdsarter, varav 6 är rödlistade, 3 är fridlysta, 9 är typiska (T) och 5 är signalarter (S): bredgentiana (VU, §8), fältgentiana (VU), odörspindling (NT), slåtterfibbla (NT, T), ullticka (NT, T), vårärt (NT, T), anisspindling (S), bronshjon (S, T), skogsknipprot (S, T, §8), thomsons trägnagare (S), tibast (S, T), blåsippa (T, §9), kransmossa (T) och ormbär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Odörspindling (NT)</w:t>
      </w:r>
      <w:r>
        <w:t xml:space="preserve"> bildar mykorrhiza med gran och tall i örtrik kalkbarrskog. Den uppträder huvudsakligen i äldre barrskogar så kallade ”bondeskogar” med en lång trädkontinuitet. Minskningstakten uppgår till 15 % inom 50 år och bedöms vara nära gränsvärdet för Sårbar (VU). (A2c+3c+4c). Virkesrika, äldre barrskogar med hög bonitet, på bättre jordar är en bristvara i befintliga, skyddade områden i Sverige och fler örtrika barrskogar med trädkontinuitet måste skyddas i större utsträckning än vad som tidigare gjorts. Områden med odörspindling bör inte gallras eller plockhuggas om inte huggningen efterföljs av skogsbete (SLU Artdatabanken, 2024).</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Skogsknipprot (§8)</w:t>
      </w:r>
      <w:r>
        <w:t xml:space="preserve"> är fridlyst enligt 8§ artskyddsförordningen och typisk art för </w:t>
      </w:r>
      <w:r>
        <w:rPr>
          <w:i/>
        </w:rPr>
        <w:t>9050 Näringsrik granskog</w:t>
      </w:r>
      <w:r>
        <w:t xml:space="preserve"> (SLU Artdatabanken, 2025).</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Ormbär</w:t>
      </w:r>
      <w:r>
        <w:t xml:space="preserve"> är typisk art för </w:t>
      </w:r>
      <w:r>
        <w:rPr>
          <w:i/>
        </w:rPr>
        <w:t xml:space="preserve">9050 Näringsrik granskog </w:t>
      </w:r>
      <w:r>
        <w:t>(SLU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slåtterfibbla (NT, T), ullticka (NT, T), vårärt (NT, T), bronshjon (S, T), skogsknipprot (S, T, §8), tibast (S, T), blåsippa (T, §9), kransmossa (T) och ormbär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