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33464-2026 i Älvkarleby kommun</w:t>
      </w:r>
    </w:p>
    <w:p>
      <w:r>
        <w:t>Denna tillsynsbegäran behandlar höga naturvärden i avverkningsanmälan A 33464-2026 i Älvkarleby kommun som inkom 2026-08-13 och omfattar 5,1 ha.</w:t>
      </w:r>
    </w:p>
    <w:p>
      <w:pPr>
        <w:pStyle w:val="Caption"/>
      </w:pPr>
      <w:r>
        <w:drawing>
          <wp:inline xmlns:a="http://schemas.openxmlformats.org/drawingml/2006/main" xmlns:pic="http://schemas.openxmlformats.org/drawingml/2006/picture">
            <wp:extent cx="5486400" cy="5357525"/>
            <wp:docPr id="1" name="Picture 1"/>
            <wp:cNvGraphicFramePr>
              <a:graphicFrameLocks noChangeAspect="1"/>
            </wp:cNvGraphicFramePr>
            <a:graphic>
              <a:graphicData uri="http://schemas.openxmlformats.org/drawingml/2006/picture">
                <pic:pic>
                  <pic:nvPicPr>
                    <pic:cNvPr id="0" name="A 33464-2026 karta.png"/>
                    <pic:cNvPicPr/>
                  </pic:nvPicPr>
                  <pic:blipFill>
                    <a:blip r:embed="rId16"/>
                    <a:stretch>
                      <a:fillRect/>
                    </a:stretch>
                  </pic:blipFill>
                  <pic:spPr>
                    <a:xfrm>
                      <a:off x="0" y="0"/>
                      <a:ext cx="5486400" cy="5357525"/>
                    </a:xfrm>
                    <a:prstGeom prst="rect"/>
                  </pic:spPr>
                </pic:pic>
              </a:graphicData>
            </a:graphic>
          </wp:inline>
        </w:drawing>
      </w:r>
    </w:p>
    <w:p>
      <w:pPr>
        <w:pStyle w:val="Caption"/>
        <w:spacing w:after="240"/>
      </w:pPr>
      <w:r>
        <w:t>Figur 1. Fyndplatser för naturvårdsarter i och inom 1 meter från avverkningsanmälan. Markörer utan svart kant är placerade på fyndplatsen. Markörer med svart kant är placerade vid sidan av fyndplatsen och har ett svart streck som visar fyndplatsens exakta position. Kartans mittpunktskoordinat är N 6719700, E 632841 i SWEREF 99 TM.</w:t>
      </w:r>
    </w:p>
    <w:p>
      <w:r>
        <w:t>I och inom 1 meter från avverkningsanmälan finns fynd av 5 naturvårdsarter, varav 4 är rödlistade, 1 är fridlyst, 3 är typiska (T) och 1 är signalart (S): skrovlig taggsvamp (VU), grantaggsvamp (NT), motaggsvamp (NT, T), orange taggsvamp (NT, T) och skogsknipprot (S,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 xml:space="preserve">Grantaggsvamp (NT) </w:t>
      </w:r>
      <w:r>
        <w:t>påträffas främst i mossiga och örtrika äldre granskogar på kalkrik mark i något fuktiga lägen, och i norr även i mager tallskog med lång kontinuitet. Arten missgynnas generellt av trakthyggesbruket och en långsiktig tillgång till värdträd bör säkras genom att man undviker att avverka kända växtplatser (SLU Artdatabanken, 2024).</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Skogsknipprot (§8)</w:t>
      </w:r>
      <w:r>
        <w:t xml:space="preserve"> är fridlyst enligt 8§ artskyddsförordningen och typisk art för </w:t>
      </w:r>
      <w:r>
        <w:rPr>
          <w:i/>
        </w:rPr>
        <w:t>9050 Näringsrik granskog</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