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51149-2025 i Älvkarleby kommun</w:t>
      </w:r>
    </w:p>
    <w:p>
      <w:r>
        <w:t>Denna tillsynsbegäran behandlar höga naturvärden i avverkningsanmälan A 51149-2025 i Älvkarleby kommun som inkom 2025-10-17 och omfattar 2,9 ha.</w:t>
      </w:r>
    </w:p>
    <w:p>
      <w:pPr>
        <w:pStyle w:val="Caption"/>
      </w:pPr>
      <w:r>
        <w:drawing>
          <wp:inline xmlns:a="http://schemas.openxmlformats.org/drawingml/2006/main" xmlns:pic="http://schemas.openxmlformats.org/drawingml/2006/picture">
            <wp:extent cx="5486400" cy="4317313"/>
            <wp:docPr id="1" name="Picture 1"/>
            <wp:cNvGraphicFramePr>
              <a:graphicFrameLocks noChangeAspect="1"/>
            </wp:cNvGraphicFramePr>
            <a:graphic>
              <a:graphicData uri="http://schemas.openxmlformats.org/drawingml/2006/picture">
                <pic:pic>
                  <pic:nvPicPr>
                    <pic:cNvPr id="0" name="A 51149-2025 karta.png"/>
                    <pic:cNvPicPr/>
                  </pic:nvPicPr>
                  <pic:blipFill>
                    <a:blip r:embed="rId16"/>
                    <a:stretch>
                      <a:fillRect/>
                    </a:stretch>
                  </pic:blipFill>
                  <pic:spPr>
                    <a:xfrm>
                      <a:off x="0" y="0"/>
                      <a:ext cx="5486400" cy="43173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6724560, E 630418 i SWEREF 99 TM.</w:t>
      </w:r>
    </w:p>
    <w:p>
      <w:r>
        <w:t>I och inom 25 meter från avverkningsanmälan finns fynd av 25 naturvårdsarter, varav 15 är rödlistade, 2 är fridlysta, 11 är typiska (T) och 9 är signalarter (S): dvärgtaggsvamp (EN), duvspindling (VU), gyllenspindling (VU), kopparspindling (VU), läderdoftande fingersvamp (VU), Phellodon melilotinus (VU), fjällig taggsvamp s.str. (NT), orange taggsvamp (NT, T), persiljespindling (NT), puderspindling (NT), rödfläckig zontaggsvamp (NT), skarp dropptaggsvamp (NT), svart taggsvamp (NT), ullticka (NT, T), vårärt (NT, T), guldlockmossa (S, T), mindre märgborre (S, T), mörk husmossa (S, T), olivspindling (S), platt fjädermossa (S, T), skogsknipprot (S, T, §8), stubbspretmossa (S, T), tibast (S, T), zontaggsvamp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Dvärgtaggsvamp (EN)</w:t>
      </w:r>
      <w:r>
        <w:t xml:space="preserve"> är en starkt hotad art som är placerad högst upp i Skogsstyrelsens värdepyramid för skog med höga naturvärden. Arten förekommer på kalkrik eller annan basiskt påverkad mark där den bildar mykorrhiza med gran, möjligen även med tall, i äldre barrskogar med lång kontinuitet. Den totala populationen i landet har minskat kraftigt och bedöms fortsätta minska till följd av avverkning av kalkbarrskogar och fortsatt fragmentering av artens livsmiljöer.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(SLU Artdatabanken, 2026;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orange taggsvamp (NT, T), ullticka (NT, T), vårärt (NT, T), guldlockmossa (S, T), mindre märgborre (S, T), mörk husmossa (S, T), platt fjädermossa (S, T), skogsknipprot (S, T, §8), stubbspretmossa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