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3954-2025 i Älvkarleby kommun</w:t>
      </w:r>
    </w:p>
    <w:p>
      <w:r>
        <w:t>Detta dokument behandlar höga naturvärden i avverkningsanmälan A 3954-2025 i Älvkarleby kommun. Denna avverkningsanmälan inkom 2025-01-27 00:00:00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backklöver (NT), flentimotej (NT), sandviol (NT), slåtterfibbla (NT), vanlig sandviol (NT), igelkottsröksvamp (S)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6440"/>
            <wp:docPr id="1" name="Picture 1"/>
            <wp:cNvGraphicFramePr>
              <a:graphicFrameLocks noChangeAspect="1"/>
            </wp:cNvGraphicFramePr>
            <a:graphic>
              <a:graphicData uri="http://schemas.openxmlformats.org/drawingml/2006/picture">
                <pic:pic>
                  <pic:nvPicPr>
                    <pic:cNvPr id="0" name="A 3954-2025 karta.png"/>
                    <pic:cNvPicPr/>
                  </pic:nvPicPr>
                  <pic:blipFill>
                    <a:blip r:embed="rId16"/>
                    <a:stretch>
                      <a:fillRect/>
                    </a:stretch>
                  </pic:blipFill>
                  <pic:spPr>
                    <a:xfrm>
                      <a:off x="0" y="0"/>
                      <a:ext cx="5486400" cy="4626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6720302, E 633705 i SWEREF 99 TM.</w:t>
      </w:r>
    </w:p>
    <w:p>
      <w:r>
        <w:rPr>
          <w:b/>
        </w:rPr>
        <w:t xml:space="preserve">Igelkottsröksvamp </w:t>
      </w:r>
      <w:r>
        <w:t>är överallt en bra signalart på skyddsvärda ädellövskogar och lövlundar. Svampen är kalkgynnad och indikerar lokalklimatiskt varma men samtidigt relativt fuktiga lövskogar. Växtmiljön utgörs vanligtvis av äldre successionsstadier inom områden med långvarig trädkontinuitet och lokalerna hyser oftast en rik lundflora med många andra ovanliga och rödlistade arter. Skogsbruk som bryter den skogliga kontinuiteten och förändrade markförhållanden missgynnar arten (SLU Artdatabanken, 2024; Nitare &amp; Skogsstyrelsen, 2019).</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