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Solfingersvamp (NT) </w:t>
      </w:r>
      <w:r>
        <w:t>bildar mykorrhiza med ek, lind och bok, kanske även hassel i luckiga, äldre ädellövskogar på kalkrik eller grönstenspåverkad mark. Arten missgynnas starkt av storskaligt skogsbruk och försvinner om värdträden avverkas. Områdesskydd är en viktig åtgärd för att bevara artens förekomster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