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44867-2023 i Knivsta kommun</w:t>
      </w:r>
    </w:p>
    <w:p>
      <w:r>
        <w:t>Detta dokument behandlar höga naturvärden i avverkningsanmälan A 44867-2023 i Knivsta kommun. Denna avverkningsanmälan inkom 2023-09-21 00:00:00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bombmurkla (VU, §8), granticka (NT), kandelabersvamp (NT), granbräken (S), myskmadra (S), stor aspticka (S), enkelbeckasin (§4), trana (§4) och gullviva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7519"/>
            <wp:docPr id="1" name="Picture 1"/>
            <wp:cNvGraphicFramePr>
              <a:graphicFrameLocks noChangeAspect="1"/>
            </wp:cNvGraphicFramePr>
            <a:graphic>
              <a:graphicData uri="http://schemas.openxmlformats.org/drawingml/2006/picture">
                <pic:pic>
                  <pic:nvPicPr>
                    <pic:cNvPr id="0" name="A 44867-2023 karta.png"/>
                    <pic:cNvPicPr/>
                  </pic:nvPicPr>
                  <pic:blipFill>
                    <a:blip r:embed="rId16"/>
                    <a:stretch>
                      <a:fillRect/>
                    </a:stretch>
                  </pic:blipFill>
                  <pic:spPr>
                    <a:xfrm>
                      <a:off x="0" y="0"/>
                      <a:ext cx="5486400" cy="40975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6634262, E 662777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Fridlysta arter</w:t>
      </w:r>
    </w:p>
    <w:p>
      <w:r>
        <w:t>Följande fridlysta arter har sina livsmiljöer och växtplatser i den avverkningsanmälda skogen: bombmurkla (VU, §8), enkelbeckasin (§4), trana (§4)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