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44867-2023 i Knivsta kommun</w:t>
      </w:r>
    </w:p>
    <w:p>
      <w:r>
        <w:t>Detta klagomål behandlar höga naturvärden i avverkningsanmälan A 44867-2023 i Knivsta kommun som inkom 2023-09-21 och omfattar 7,8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44867-2023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6634262, E 662777 i SWEREF 99 TM.</w:t>
      </w:r>
    </w:p>
    <w:p>
      <w:r>
        <w:t>I och inom 23 meter från avverkningsanmälan finns fynd av 27 naturvårdsarter, varav 12 är rödlistade, 5 är fridlysta, 15 är typiska (T) och 12 är signalarter (S): bombmurkla (EN, §8), apelticka (VU), enkelbeckasin (NT, §4), gul dropplav (NT), jättekamskivling (NT), kandelabersvamp (NT, T), lunglav (NT, T), oxtungssvamp (NT), rutskinn (NT, T), rynkskinn (NT, T), rödbrun blekspik (NT, T), tallticka (NT, T), bårdlav (S, T), dvärgtufs (S), fällmossa (S, T), granbräken (S), gulpudrad spiklav (S, T), myskmadra (S, T), rikfruktig blemlav (S), skinnlav (S, T), sotlav (S, T), stor aspticka (S, T), thomsons trägnagare (S), trubbfjädermossa (S, T), blåsippa (T, §9), trana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