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7444-2023 i Knivsta kommun</w:t>
      </w:r>
    </w:p>
    <w:p>
      <w:r>
        <w:t>Detta klagomål behandlar höga naturvärden i avverkningsanmälan A 7444-2023 i Knivsta kommun som inkom 2023-02-14 och omfattar 0,7 ha.</w:t>
      </w:r>
    </w:p>
    <w:p>
      <w:pPr>
        <w:pStyle w:val="Caption"/>
      </w:pPr>
      <w:r>
        <w:drawing>
          <wp:inline xmlns:a="http://schemas.openxmlformats.org/drawingml/2006/main" xmlns:pic="http://schemas.openxmlformats.org/drawingml/2006/picture">
            <wp:extent cx="5239648" cy="5724000"/>
            <wp:docPr id="1" name="Picture 1"/>
            <wp:cNvGraphicFramePr>
              <a:graphicFrameLocks noChangeAspect="1"/>
            </wp:cNvGraphicFramePr>
            <a:graphic>
              <a:graphicData uri="http://schemas.openxmlformats.org/drawingml/2006/picture">
                <pic:pic>
                  <pic:nvPicPr>
                    <pic:cNvPr id="0" name="A 7444-2023 karta.png"/>
                    <pic:cNvPicPr/>
                  </pic:nvPicPr>
                  <pic:blipFill>
                    <a:blip r:embed="rId16"/>
                    <a:stretch>
                      <a:fillRect/>
                    </a:stretch>
                  </pic:blipFill>
                  <pic:spPr>
                    <a:xfrm>
                      <a:off x="0" y="0"/>
                      <a:ext cx="523964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6634270, E 662933 i SWEREF 99 TM.</w:t>
      </w:r>
    </w:p>
    <w:p>
      <w:r>
        <w:t>I och inom 25 meter från avverkningsanmälan finns fynd av 19 naturvårdsarter, varav 9 är rödlistade, 1 är fridlyst, 13 är typiska (T) och 9 är signalarter (S): apelticka (VU), aspfjädermossa (VU, T), kärnticka (VU, T), Blastenia relicta (NT), grönhjon (NT), kandelabersvamp (NT, T), koralltaggsvamp (NT, T), lunglav (NT, T), ullticka (NT, T), bronshjon (S, T), bårdlav (S, T), dvärgtufs (S), granbarkgnagare (S, T), platt fjädermossa (S, T), rävticka (S, T), stekelbock (S, T), stor aspticka (S, T), thomsons trägnagare (S)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Apelticka (VU) </w:t>
      </w:r>
      <w:r>
        <w:t>är en nedbrytare i gamla, levande, skadade, ibland döda, stammar av asp, ask, apel i hagmark, parker, alléer, trädgårdar samt i löv- och blandskog. Arten hotas av avverkning av värdträd och passande värdträd på svampens växtplatser. Även minskad tillgång på asp i skogslandskapet missgynnar arten. I kulturlandskapet måste särskilt gamla aplar och askar bevaras. I skogsmiljö måste fler bestånd med grov asp få möjlighet att fortleva. Vid skötsel av parker och alléer bör träd med den vedrötande apeltickan sparas så länge det är möjligt (SLU Artdatabanken, 2025).</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Kärnticka (VU)</w:t>
      </w:r>
      <w:r>
        <w:t xml:space="preserve"> är en nedbrytare i medelgrova stammar av levande ekar, i ekskog, hagmark och löväng. Arten hotas av att värdträd avverkas och av att hela bestånd med olikåldrig ek- eller ekblandskog avverkas och ersätts av likåldriga barr- eller lövbestånd. Kvarvarande större bestånd av ek med lång kontinuitet och ett större inslag av äldre träd bör bevaras. Kärnticka är typisk art för </w:t>
      </w:r>
      <w:r>
        <w:rPr>
          <w:i/>
        </w:rPr>
        <w:t xml:space="preserve">9020 Nordlig ädellövskog </w:t>
      </w:r>
      <w:r>
        <w:t xml:space="preserve">och </w:t>
      </w:r>
      <w:r>
        <w:rPr>
          <w:i/>
        </w:rPr>
        <w:t>9160 Näringsrik ekskog</w:t>
      </w:r>
      <w:r>
        <w:t xml:space="preserve"> (SLU Artdatabanken, 2024).</w:t>
      </w:r>
    </w:p>
    <w:p>
      <w:r>
        <w:rPr>
          <w:b/>
          <w:i/>
        </w:rPr>
        <w:t xml:space="preserve">Blastenia relicta </w:t>
      </w:r>
      <w:r>
        <w:rPr>
          <w:b/>
        </w:rPr>
        <w:t>(NT)</w:t>
      </w:r>
      <w:r>
        <w:t xml:space="preserve"> är en rostorangelav som växer på aspgrenar, men även på stammar på senvuxna, öppet stående träd. I södra Sverige växer den ibland på ädellövträd. Arten har i södra och mellersta Sverige minskat, sannolikt dels p.g.a. att antalet senvuxna aspar i skogsmark blivit färre. Kända lokaler bör skyddas (SLU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