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4597-2022 i Knivsta kommun</w:t>
      </w:r>
    </w:p>
    <w:p>
      <w:r>
        <w:t>Denna tillsynsbegäran behandlar höga naturvärden i samrådsanmälan S 4597-2022 i Knivsta kommun som inkom 2022-08-18 och omfattar 30,1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S 4597-2022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6628497, E 650584 i SWEREF 99 TM.</w:t>
      </w:r>
    </w:p>
    <w:p>
      <w:r>
        <w:t>I och inom 17 meter från samrådsanmälan finns fynd av 7 naturvårdsarter, varav 4 är rödlistade, 3 är fridlysta och 2 är typiska (T): franstandad barkskinnbagge (EN), skrovlig taggsvamp (VU), bronspraktbagge (NT), tallticka (NT, T), järpe (T, §4), havsörn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Franstandad barkskinnbagge (EN)</w:t>
      </w:r>
      <w:r>
        <w:t xml:space="preserve"> är en starkt hotad barrskogsart som mestadels är funnen under bark på grövre granstubbar, som är angripna av luktticka. Arten hotas av bristen på död ved, i synnerhet högstubbar, i granskogar. Genom bekämpningsaktioner mot barkborrar, borttransport av vindfällen och även av branddödade granar har substratet för den franstandade barkskinnbaggen minskat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