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46302-2025 i Knivsta kommun</w:t>
      </w:r>
    </w:p>
    <w:p>
      <w:r>
        <w:t>Denna tillsynsbegäran behandlar höga naturvärden i avverkningsanmälan A 46302-2025 i Knivsta kommun som inkom 2025-09-25 och omfattar 5,0 ha.</w:t>
      </w:r>
    </w:p>
    <w:p>
      <w:pPr>
        <w:pStyle w:val="Caption"/>
      </w:pPr>
      <w:r>
        <w:drawing>
          <wp:inline xmlns:a="http://schemas.openxmlformats.org/drawingml/2006/main" xmlns:pic="http://schemas.openxmlformats.org/drawingml/2006/picture">
            <wp:extent cx="5345584" cy="5724000"/>
            <wp:docPr id="1" name="Picture 1"/>
            <wp:cNvGraphicFramePr>
              <a:graphicFrameLocks noChangeAspect="1"/>
            </wp:cNvGraphicFramePr>
            <a:graphic>
              <a:graphicData uri="http://schemas.openxmlformats.org/drawingml/2006/picture">
                <pic:pic>
                  <pic:nvPicPr>
                    <pic:cNvPr id="0" name="A 46302-2025 karta.png"/>
                    <pic:cNvPicPr/>
                  </pic:nvPicPr>
                  <pic:blipFill>
                    <a:blip r:embed="rId16"/>
                    <a:stretch>
                      <a:fillRect/>
                    </a:stretch>
                  </pic:blipFill>
                  <pic:spPr>
                    <a:xfrm>
                      <a:off x="0" y="0"/>
                      <a:ext cx="5345584"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6626126, E 651799 i SWEREF 99 TM.</w:t>
      </w:r>
    </w:p>
    <w:p>
      <w:r>
        <w:t>I och inom 5 meter från avverkningsanmälan finns fynd av 25 naturvårdsarter, varav 11 är rödlistade, 5 är fridlysta, 16 är typiska (T) och 11 är signalarter (S): koppartaggsvamp (EN), blackticka (VU), knärot (VU, T, §8), brunpudrad nållav (NT, T), dofttaggsvamp (NT, T), kötticka (NT), rosenticka (NT, T), rynkskinn (NT, T), skarp dropptaggsvamp (NT), tallticka (NT, T), ullticka (NT, T), blodticka (S, T), blomkålssvamp (S), brandticka (S), bronshjon (S, T), granbarkgnagare (S, T), grön sköldmossa (S, T, §8), grönpyrola (S, T), rödgul trumpetsvamp (S), trådticka (S, T), vedticka (S, T), vågbandad barkbock (S), blåsippa (T, §9),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3.60 ha med buffertzonerna och får av detta skäl inte avverkas.</w:t>
      </w:r>
    </w:p>
    <w:p>
      <w:pPr>
        <w:pStyle w:val="Caption"/>
      </w:pPr>
      <w:r>
        <w:drawing>
          <wp:inline xmlns:a="http://schemas.openxmlformats.org/drawingml/2006/main" xmlns:pic="http://schemas.openxmlformats.org/drawingml/2006/picture">
            <wp:extent cx="5486400" cy="5154576"/>
            <wp:docPr id="2" name="Picture 2"/>
            <wp:cNvGraphicFramePr>
              <a:graphicFrameLocks noChangeAspect="1"/>
            </wp:cNvGraphicFramePr>
            <a:graphic>
              <a:graphicData uri="http://schemas.openxmlformats.org/drawingml/2006/picture">
                <pic:pic>
                  <pic:nvPicPr>
                    <pic:cNvPr id="0" name="A 46302-2025 karta knärot.png"/>
                    <pic:cNvPicPr/>
                  </pic:nvPicPr>
                  <pic:blipFill>
                    <a:blip r:embed="rId17"/>
                    <a:stretch>
                      <a:fillRect/>
                    </a:stretch>
                  </pic:blipFill>
                  <pic:spPr>
                    <a:xfrm>
                      <a:off x="0" y="0"/>
                      <a:ext cx="5486400" cy="51545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6626126, E 651799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brunpudrad nållav (NT, T), dofttaggsvamp (NT, T), rosenticka (NT, T), rynkskinn (NT, T), tallticka (NT, T), ullticka (NT, T), blodticka (S, T), bronshjon (S, T), granbarkgnagare (S, T), grön sköldmossa (S, T, §8), grönpyrola (S, T), trådticka (S, T),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