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56546-2019 i Knivsta kommun</w:t>
      </w:r>
    </w:p>
    <w:p>
      <w:r>
        <w:t>Detta dokument behandlar höga naturvärden i avverkningsanmälan A 56546-2019 i Knivsta kommun. Denna avverkningsanmälan inkom 2019-10-25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skogsalm (CR), ask (EN), platt spretmossa (NT), spillkråka (NT, §4), ullticka (NT), vedtrappmossa (NT), bronshjon (S), dropptaggsvamp (S), fjällig taggsvamp s.str. (S), grovticka (S), grön sköldmossa (S, §8), rostfläck (S), rävticka (S), skogshakmossa (S), stubbspretmossa (S), tibast (S), trådticka (S), vanlig rörsvepemossa (S), vågbandad barkbock (S), huggorm (§6)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56546-2019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6627490, E 649453 i SWEREF 99 TM.</w:t>
      </w:r>
    </w:p>
    <w:p>
      <w:pPr>
        <w:pStyle w:val="Heading1"/>
      </w:pPr>
      <w:r>
        <w:t>Fridlysta arter</w:t>
      </w:r>
    </w:p>
    <w:p>
      <w:r>
        <w:t>Följande fridlysta arter har sina livsmiljöer och växtplatser i den avverkningsanmälda skogen: spillkråka (NT, §4), grön sköldmossa (S, §8), huggorm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