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194-2025 i Knivsta kommun</w:t>
      </w:r>
    </w:p>
    <w:p>
      <w:r>
        <w:t>Denna tillsynsbegäran behandlar höga naturvärden i samrådsanmälan S 194-2025 i Knivsta kommun som inkom 2025-01-22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867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9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867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6623463, E 658218 i SWEREF 99 TM.</w:t>
      </w:r>
    </w:p>
    <w:p>
      <w:r>
        <w:t>I samrådsanmälan finns fynd av 2 naturvårdsarter, varav 1 är rödlistad, 2 är typiska (T) och 1 är signalart (S): tallticka (NT, T) och grovticka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p>
      <w:r>
        <w:rPr>
          <w:b/>
        </w:rPr>
        <w:t>Grovticka</w:t>
      </w:r>
      <w:r>
        <w:t xml:space="preserve"> är i skogslandskapet främst knuten till naturskogsartad äldre barrskog. Den är där en värdefull ”gammelskogsindikator” och påträffas mest vid tallar som är över 200 år gamla.  Grovticka är typisk art för </w:t>
      </w:r>
      <w:r>
        <w:rPr>
          <w:i/>
        </w:rPr>
        <w:t xml:space="preserve">9060 Åsbarrskog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