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klagomål behandlar höga naturvärden i avverkningsanmälan A 7444-2023 i Knivsta kommun som inkom 2023-02-14 och omfattar 0,7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6634270, E 662933 i SWEREF 99 TM.</w:t>
      </w:r>
    </w:p>
    <w:p>
      <w:r>
        <w:t>I och inom 25 meter från avverkningsanmälan finns fynd av 18 naturvårdsarter, varav 9 är rödlistade, 13 är typiska (T) och 9 är signalarter (S): apelticka (VU), aspfjädermossa (VU, T), kärnticka (VU, T), Blastenia relicta (NT), grönhjon (NT), kandelabersvamp (NT, T), koralltaggsvamp (NT, T), lunglav (NT, T), ullticka (NT, T), bronshjon (S, T), bårdlav (S, T), dvärgtufs (S), granbarkgnagare (S, T), platt fjädermossa (S, T), rävticka (S, T), stekelbock (S, T), stor aspticka (S,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Kärnticka är typisk art för </w:t>
      </w:r>
      <w:r>
        <w:rPr>
          <w:i/>
        </w:rPr>
        <w:t xml:space="preserve">9020 Nordlig ädellövskog </w:t>
      </w:r>
      <w:r>
        <w:t xml:space="preserve">och </w:t>
      </w:r>
      <w:r>
        <w:rPr>
          <w:i/>
        </w:rPr>
        <w:t>9160 Näringsrik ekskog</w:t>
      </w:r>
      <w:r>
        <w:t xml:space="preserve"> (SLU Artdatabanken, 2024).</w:t>
      </w:r>
    </w:p>
    <w:p>
      <w:r>
        <w:rPr>
          <w:b/>
          <w:i/>
        </w:rPr>
        <w:t xml:space="preserve">Blastenia relicta </w:t>
      </w:r>
      <w:r>
        <w:rPr>
          <w:b/>
        </w:rPr>
        <w:t>(NT)</w:t>
      </w:r>
      <w:r>
        <w:t xml:space="preserve"> är en rostorangelav som växer på aspgrenar, men även på stammar på senvuxna, öppet stående träd. I södra Sverige växer den ibland på ädellövträd. Arten har i södra och mellersta Sverige minskat, sannolikt dels p.g.a. att antalet senvuxna aspar i skogsmark blivit färre. Kända lokaler bör skyddas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