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som inkom 2026-03-11 och omfattar 1,9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