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4056-2022 i Knivsta kommun</w:t>
      </w:r>
    </w:p>
    <w:p>
      <w:r>
        <w:t>Detta dokument behandlar höga naturvärden i avverkningsanmälan A 4056-2022 i Knivsta kommun. Denna avverkningsanmälan inkom 2022-01-27 00:00:00 och omfattar 14,4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33 naturvårdsarter hittats: knärot (VU, §8), koppartaggsvamp (VU), rynkskinn (VU), entita (NT, §4), gransotdyna (NT), granticka (NT), gränsticka (NT), kandelabersvamp (NT), Leptoporus mollis (NT), mindre hackspett (NT, §4), orange taggsvamp (NT), rosenticka (NT), skrovlig taggsvamp (NT), spillkråka (NT, §4), svart taggsvamp (NT), såpfingersvamp (NT), tallticka (NT), ullticka (NT), blodticka (S), blomkålssvamp (S), blåmossa (S), dropptaggsvamp (S), grovticka (S), gullgröppa (S), mindre märgborre (S), rödgul trumpetsvamp (S), skarp dropptaggsvamp (S), smal svampklubba (S), svart trolldruva (S), trådticka (S), skogsduva (§4), fläcknycklar (§8) och blåsippa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390413"/>
            <wp:docPr id="1" name="Picture 1"/>
            <wp:cNvGraphicFramePr>
              <a:graphicFrameLocks noChangeAspect="1"/>
            </wp:cNvGraphicFramePr>
            <a:graphic>
              <a:graphicData uri="http://schemas.openxmlformats.org/drawingml/2006/picture">
                <pic:pic>
                  <pic:nvPicPr>
                    <pic:cNvPr id="0" name="A 4056-2022 karta.png"/>
                    <pic:cNvPicPr/>
                  </pic:nvPicPr>
                  <pic:blipFill>
                    <a:blip r:embed="rId16"/>
                    <a:stretch>
                      <a:fillRect/>
                    </a:stretch>
                  </pic:blipFill>
                  <pic:spPr>
                    <a:xfrm>
                      <a:off x="0" y="0"/>
                      <a:ext cx="5486400" cy="539041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6626252, E 654942 i SWEREF 99 TM.</w:t>
      </w:r>
    </w:p>
    <w:p>
      <w:r>
        <w:rPr>
          <w:b/>
        </w:rPr>
        <w:t xml:space="preserve">Blomkålssvamp </w:t>
      </w:r>
      <w:r>
        <w:t>är en parasit och vednedbrytare som växer på rötter och basala stamdelar av tall, enstaka gånger även på lärk och gran. Träden är oftast mycket gamla, gärna 150–200 år eller äldre. När blomkålssvamp påträffas i skogslandskapet signalerar den vanligtvis skyddsvärda tallbestånd med höga naturvärden. Den är då främst knuten till gamla skogar, oftast tallnaturskogar och olika restbiotoper där det förekommer biologiskt gamla träd. Samtliga tallar med blomkålssvamp bör klassas som naturvårdsträd och lämnas som framtida ”evighetsträd” (Nitare &amp; Skogsstyrelsen, 2019).</w:t>
      </w:r>
    </w:p>
    <w:p>
      <w:r>
        <w:rPr>
          <w:b/>
        </w:rPr>
        <w:t xml:space="preserve">Blåmossa </w:t>
      </w:r>
      <w:r>
        <w:t>har karaktäristiska kuddar som är lätta att se på långt håll. Mycket stora kuddar, större än 0,5 meter i höjd, indikerar höga naturvärden där skogen har en lång period av orördhet oh stabila miljöförhållanden. Mossan växer under gynnsamma omständigheter cirka 1 centimeter per år och stora kuddar kan därför indirekt visa att lokalen varit lämplig under en lång tid (Nitare &amp; Skogsstyrelsen, 2019).</w:t>
      </w:r>
    </w:p>
    <w:p>
      <w:r>
        <w:rPr>
          <w:b/>
        </w:rPr>
        <w:t>Gransotdyna (NT)</w:t>
      </w:r>
      <w:r>
        <w:t xml:space="preserve"> är en nedbrytare på grova, murkna, ofta barklösa stubbar och liggande stammar av gran, sällan även av bok. Den kräver tillgång till lågor och stubbar i frisk till fuktig miljö och är helt bunden till skogsbestånd med hög bonitet. Gransotdyna hotas av det intensiva utnyttjandet av granskogar med hög bonitet. Arten förekommer främst i de sydliga delarna av landet där bristen på äldre skog är mest påtaglig. Alla lokaler för arten måste undantas från rationellt skogsbruk och tillgången på död ved av grova dimensioner måste säkerställas. Fler områden med äldre granskog måste skyddas i södra Sverige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Grovticka</w:t>
      </w:r>
      <w:r>
        <w:t xml:space="preserve"> är i skogslandskapet främst knuten till naturskogsartad äldre barrskog. Den är där en värdefull ”gammelskogsindikator” och påträffas mest vid tallar som är över 200 år gamla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 xml:space="preserve">Koppartaggsvamp (VU) </w:t>
      </w:r>
      <w:r>
        <w:t>bildar mykorrhiza med gran i örtrik äldre granskog på kalkrik mark. Arten är en mycket bra indikator på skyddsvärda kalkgranskogar och påfallande ofta växer den tillsammans med raggtaggsvamp (EN). Arten ingår i ett åtgärdsprogram för hotade arter (ÅGP) och dess långsiktiga överlevnad säkras genom att växtplatserna undantas från avverkning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 xml:space="preserve">Skrovlig taggsvamp (NT) </w:t>
      </w:r>
      <w:r>
        <w:t>bildar mykorrhiza med tall i äldre tallskog, framför allt på tallhed. Den växer huvudsakligen i äldre barrskog som hotas av slutavverkning. Genom att äldre barrskogar och naturskogar blir allt sällsyntare, missgynnas arten av skogsbruk. Arten ingår i ett åtgärdsprogram för hotade arter (ÅGP) och en långsiktig tillgång till svampens värdträd behöver säkras genom att växtplatserna undantas från avverkning. Skrovlig taggsvamp är globalt rödlistad som nära hotad (NT) vilket innebär att Sverige har ett internationellt ansvar för arten (IUCN, 2025; SLU Artdatabanken, 2024; Nitare, 2006).</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Svart trolldruva</w:t>
      </w:r>
      <w:r>
        <w:t xml:space="preserve"> är en kalkgynnad växt som förekommer på näringsrik frisk mulljord i såväl bördiga kalkbarrskogar som sydliga kalklövskogar och lundar. Arten är en bra signalart för skyddsvärda biotoper i såväl löv- som barrskogar och tål inte slutavverkning och markberedning. Trolldruva är värdväxt för ett antal sällsynta fjärilsarter som ställer höga krav på sina livsmiljöer, däribland trolldruvemätare (EN), skuggmalmätare (VU) och trolldruvelobmätare (VU) (SLU Artdatabanken, 2024; Nitare &amp; Skogsstyrelsen, 2019).</w:t>
      </w:r>
    </w:p>
    <w:p>
      <w:r>
        <w:rPr>
          <w:b/>
        </w:rPr>
        <w:t xml:space="preserve">Såpfingersvamp (NT) </w:t>
      </w:r>
      <w:r>
        <w:t>är en sällsynt ”toppart” som bildar mykorrhiza med gran i kalkbarrskog, sällsynt även med ek, hassel och bok i kalkrik ädellövskog. Status i landet något oklar men eftersökt och uppenbarligen mycket ovanlig och med liten förekomstarea. All form av skogsavverkning i eller i närheten av växtplatsen som kan påverka lokalens mikroklimat utgör ett hot. Växtplatserna bör skyddas och arten bör eftersökas på nya lokaler i såväl kalkgranskogar som rika ädellövskogar i södra Sverige. Såpfingersvamp är placerad högst upp i Skogsstyrelsens värdepyramid för bedömning av skog med höga naturvärden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pPr>
        <w:pStyle w:val="Heading1"/>
      </w:pPr>
      <w:r>
        <w:t>Fridlysta arter</w:t>
      </w:r>
    </w:p>
    <w:p>
      <w:r>
        <w:t>Följande fridlysta arter har sina livsmiljöer och växtplatser i den avverkningsanmälda skogen: knärot (VU, §8), entita (NT, §4), mindre hackspett (NT, §4), spillkråka (NT, §4), skogsduva (§4), fläcknycklar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Entita (NT, §4)</w:t>
      </w:r>
      <w:r>
        <w:t>, rödlistad som nära hotad och prioriterad art i Skogsvårdslagen, har häckningsrevir i anmälan. Minskningstakten innevarande 10-årsperiod beräknas till 20 (10–30) %. Entitan är ortstrogen och reviret är i genomsnitt omkring 5 hektar, ibland uppåt 20 hektar stort. Entitan är en utpräglad lövskogsfågel som föredrar flerskiktade, gärna högvuxna skogar med inslag av äldre träd och välutvecklat buskskikt. Även alkärr med videsnår hör till de miljöer som utnyttjas. Arten häckar ofta i skogar som är svagt eller inte alls påverkade av skogsbruk, ofta rör det sig om värdekärnor med höga naturvärden. Entitan missgynnas av konventionellt skogsbruk och dess ortstrohet och dåliga spridningsförmåga gör den känslig för fragmentering (Skogsstyrelsen, 2016, SLU Artdatabanken, 2021).</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4.60 ha med buffertzonerna och får av detta skäl inte avverkas.</w:t>
      </w:r>
    </w:p>
    <w:p>
      <w:pPr>
        <w:pStyle w:val="Caption"/>
      </w:pPr>
      <w:r>
        <w:drawing>
          <wp:inline xmlns:a="http://schemas.openxmlformats.org/drawingml/2006/main" xmlns:pic="http://schemas.openxmlformats.org/drawingml/2006/picture">
            <wp:extent cx="5486400" cy="6944233"/>
            <wp:docPr id="2" name="Picture 2"/>
            <wp:cNvGraphicFramePr>
              <a:graphicFrameLocks noChangeAspect="1"/>
            </wp:cNvGraphicFramePr>
            <a:graphic>
              <a:graphicData uri="http://schemas.openxmlformats.org/drawingml/2006/picture">
                <pic:pic>
                  <pic:nvPicPr>
                    <pic:cNvPr id="0" name="A 4056-2022 karta knärot.png"/>
                    <pic:cNvPicPr/>
                  </pic:nvPicPr>
                  <pic:blipFill>
                    <a:blip r:embed="rId17"/>
                    <a:stretch>
                      <a:fillRect/>
                    </a:stretch>
                  </pic:blipFill>
                  <pic:spPr>
                    <a:xfrm>
                      <a:off x="0" y="0"/>
                      <a:ext cx="5486400" cy="6944233"/>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6626252, E 654942 i SWEREF 99 TM.</w:t>
      </w:r>
    </w:p>
    <w:p>
      <w:pPr>
        <w:pStyle w:val="Caption"/>
      </w:pPr>
    </w:p>
    <w:p>
      <w:r>
        <w:rPr>
          <w:b/>
        </w:rPr>
        <w:t>Mindre hackspett (NT, §4)</w:t>
      </w:r>
      <w:r>
        <w:t xml:space="preserve"> är rödlistad som nära hotad, fridlyst och prioriterad art i Skogsvårdslagen. Minskningstakten har uppgått till 25 (10–40) % under de senaste 15 åren och bedöms vara nära gränsvärdet för Sårbar (VU). (A2bc). Arten har stora revir och höga krav när det gäller förekomst av lövskog på landskapsnivå. För att häcka framgångsrikt behöver ett par cirka 40 ha äldre lövdominerad skog inom ett område på upp till 200 ha. Under vintern kan födosök även ske i äldre grandominerad skog (SLU Artdatabanken, 2021 &amp; Skogsstyrelsen, 2016).</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Entita – ekologi samt krav på livsmiljön</w:t>
      </w:r>
    </w:p>
    <w:p>
      <w:r>
        <w:t>Entita (NT, §4) är rödlistad som nära hotad, fridlyst och prioriterad art enligt Skogsvårdslagen. Den omfattas av EU:s fågeldirektiv. Minskningstakten har uppgått till 20 (10–30) % under de senaste 10 åren och bedöms vara nära gränsvärdet för Sårbar (VU). (A2b) (SLU Artdatabanken, 2021).</w:t>
      </w:r>
    </w:p>
    <w:p>
      <w:r>
        <w:t>Entitan är en utpräglad lövskogsfågel som påträffas i ädellövskogar, strandskogar, ekhagar, igenväxande hagmarker, lövdungar, parker och trädgårdar. Den föredrar flerskiktade, gärna högvuxna skogar med inslag av äldre träd och med ett välutvecklat buskskikt. Ek- och hasseldominerade skogar och dungar, samt alkärr med videsnår, hör till de miljöer som ofta utnyttjas. I sydligaste Sverige är bokskog en viktig miljö (Skogsstyrelsen, 2016).</w:t>
      </w:r>
    </w:p>
    <w:p>
      <w:r>
        <w:t>Reviren är relativt stora för en småfågel, i genomsnitt omkring 5 hektar men de kan vara upp till 20 hektar. Entitan är en utpräglad stannfågel och rör sig inte långt från kläckningsplatsen; ungfåglarna sprider sig sällan mer än 5 km från födelseplatsen och etablerade fåglar lämnar därefter inte sitt revir (Skogsstyrelsen, 2016). Det häckande paret försvarar sitt revir året runt. De tillåter dock en grupp av ungfåglar att etablera sig inom deras revir och så bildas en vinterflock, vilket sker redan i juni månad. Även under kalla vintrar stannar entitan kvar inom sitt revir. Hittar man entitor vid sitt foderbord beror det på att fågelmatningen ligger inom ett entiterevir (SLU Artdatabanken, 2021). Arten är känslig för fragmentering och har svårt att etablera sig i isolerade skogsområden. Entitan är hålhäckare, men kan inte själv hacka fram sitt hål utan är beroende av miljöer som erbjuder naturliga hål (Skogsstyrelsen, 2016).</w:t>
      </w:r>
    </w:p>
    <w:p>
      <w:r>
        <w:t>Arten häckar ofta i skogar som är svagt eller inte alls påverkade av skogsbruk. Särskilt i Svealand ofta i skogar som har höga naturvärden och utgör skogliga värdekärnor. Entitan missgynnas av konventionellt skogsbruk genom minskad förekomst av risiga, flerskiktade skogar liksom av avverkning av lövträdsrika kantzoner. Entitans ortstrohet och dåliga spridningsförmåga gör den känslig för fragmentering (Skogsstyrelsen, 2016).</w:t>
      </w:r>
    </w:p>
    <w:p>
      <w:pPr>
        <w:pStyle w:val="Heading2"/>
      </w:pPr>
      <w:r>
        <w:t>Referenser – entita</w:t>
      </w:r>
    </w:p>
    <w:p>
      <w:r>
        <w:t xml:space="preserve">Skogsstyrelsen, 2016. </w:t>
      </w:r>
      <w:r>
        <w:rPr>
          <w:i/>
        </w:rPr>
        <w:t xml:space="preserve">Vägledning för hänsyn till entita. </w:t>
      </w:r>
      <w:r>
        <w:t>https://www.skogsstyrelsen.se/globalassets/lag-och-tillsyn/artskydd/vagledningar-for-hansyn-till-faglar/entita-vagledning-hansyn2.pdf</w:t>
      </w:r>
    </w:p>
    <w:p>
      <w:r>
        <w:t xml:space="preserve">SLU Artdatabanken, 2021.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hackspett – ekologi samt krav på livsmiljön</w:t>
      </w:r>
    </w:p>
    <w:p>
      <w:r>
        <w:t>Mindre hackspett (NT) är rödlistad som nära hotad, fridlyst och prioriterad art i Skogsvårdslagen. Minskningstakten har uppgått till 25 (10–40) % under de senaste 15 åren och bedöms vara nära gränsvärdet för Sårbar (VU). (A2bc). (SLU Artdatabanken 2021).</w:t>
      </w:r>
    </w:p>
    <w:p>
      <w:r>
        <w:t>Den mindre hackspetten lever i löv- och blandskog med förekomst av äldre lövträd, gärna ädellövträd i södra Sverige. Norrut förekommer arten i gamla löv- och blandskogar med al, björk och asp. Ett mycket glest bestånd förekommer i fjällbjörkskogen. Under vintern kan födosök ske även i äldre grandominerad skog, troligen för att den ger bättre skydd mot rovdjur och rovfåglar än ren lövskog. (SLU Artdatabanken, 2021).</w:t>
      </w:r>
    </w:p>
    <w:p>
      <w:r>
        <w:t>Arten har stora revir och höga krav när det gäller förekomst av lövskog på landskapsnivå. För att häcka framgångsrikt behöver ett par cirka 40 ha äldre lövdominerad skog inom ett område på upp till 200 ha. Under vintern utsträcks födosöket till ett större område på flera hundra hektar, men varje individ återvänder till samma natthål kväll efter kväll. Arten häckar i murkna lövträdsstammar eller stubbar (oftast klibbal eller björk), vanligen 3–7 meter över marken. Ett nytt bohål hackas ut varje vår (Skogsstyrelsen, 2016 &amp; SLU Artdatabanken, 2021).</w:t>
      </w:r>
    </w:p>
    <w:p>
      <w:r>
        <w:t>Den mindre hackspetten missgynnas av gallring i löv- och blandskogar, om lövträd tas bort. Vidare så missgynnas arten starkt genom avverkning av äldre lövträd, dränering och avverkning av al- och björkkärr, röjning eller gallring av täta strandskogar, alkärr samt borttagande av murkna träd och grenar. Nedhuggning av äldre hagmarksbjörkar och alar är också negativt. Arten hotas dessutom av biobränsleuttag i gamla inägomarker och andra lövskogar (Skogsstyrelsen, 2016 &amp; SLU Artdatabanken, 2021).</w:t>
      </w:r>
    </w:p>
    <w:p>
      <w:pPr>
        <w:pStyle w:val="Heading2"/>
      </w:pPr>
      <w:r>
        <w:t>Referenser – mindre hackspett</w:t>
      </w:r>
    </w:p>
    <w:p>
      <w:r>
        <w:t xml:space="preserve">Skogsstyrelsen, 2016. </w:t>
      </w:r>
      <w:r>
        <w:rPr>
          <w:i/>
        </w:rPr>
        <w:t xml:space="preserve">Vägledning för hänsyn till mindre hackspett. </w:t>
      </w:r>
      <w:r>
        <w:t>https://www.skogsstyrelsen.se/globalassets/lag-och-tillsyn/artskydd/vagledningar-for-hansyn-till-faglar/mindre-hackspett-vagledning-hansyn2.pdf</w:t>
      </w:r>
    </w:p>
    <w:p>
      <w:r>
        <w:t xml:space="preserve">SLU Artdatabanken, 2021.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2025-11-01</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