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44867-2023 i Knivsta kommun</w:t>
      </w:r>
    </w:p>
    <w:p>
      <w:r>
        <w:t>Detta dokument behandlar höga naturvärden i avverkningsanmälan A 44867-2023 i Knivsta kommun. Denna avverkningsanmälan inkom 2023-09-21 00:00:00 och omfattar 7,8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bombmurkla (VU, §8), granticka (NT), kandelabersvamp (NT), granbräken (S), myskmadra (S), stor aspticka (S), enkelbeckasin (§4), trana (§4) och gullviva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7519"/>
            <wp:docPr id="1" name="Picture 1"/>
            <wp:cNvGraphicFramePr>
              <a:graphicFrameLocks noChangeAspect="1"/>
            </wp:cNvGraphicFramePr>
            <a:graphic>
              <a:graphicData uri="http://schemas.openxmlformats.org/drawingml/2006/picture">
                <pic:pic>
                  <pic:nvPicPr>
                    <pic:cNvPr id="0" name="A 44867-2023 karta.png"/>
                    <pic:cNvPicPr/>
                  </pic:nvPicPr>
                  <pic:blipFill>
                    <a:blip r:embed="rId16"/>
                    <a:stretch>
                      <a:fillRect/>
                    </a:stretch>
                  </pic:blipFill>
                  <pic:spPr>
                    <a:xfrm>
                      <a:off x="0" y="0"/>
                      <a:ext cx="5486400" cy="40975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6634262, E 662777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Stor aspticka</w:t>
      </w:r>
      <w:r>
        <w:t xml:space="preserve"> är knuten till gamla levande aspar och orsakar karaktäristiska inbuktningar i stammen (så kallad nekroser). Slutavverknings- och gallringsåtgärder i löv- och blandskogsbestånd som innebär att tillgången på grov asp minskar är ett hot mot arten. Det är viktigt att äldre aspar och aspbestånd sparas och för att gynna arten på sikt bör aspinslagen i t.ex. bergbranter, raviner, skogsbryn och kring äldre odlingsmarker generellt sparas i större utsträckning än vad som görs idag (SLU Artdatabanken, 2024; Nitare &amp; Skogsstyrelsen, 2019).</w:t>
      </w:r>
    </w:p>
    <w:p>
      <w:pPr>
        <w:pStyle w:val="Heading1"/>
      </w:pPr>
      <w:r>
        <w:t>Fridlysta arter</w:t>
      </w:r>
    </w:p>
    <w:p>
      <w:r>
        <w:t>Följande fridlysta arter har sina livsmiljöer och växtplatser i den avverkningsanmälda skogen: bombmurkla (VU, §8), enkelbeckasin (§4), trana (§4) och gullviva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 xml:space="preserve">Bombmurkla (VU, §8) </w:t>
      </w:r>
      <w:r>
        <w:t>indikerar en speciell och hotad granskogstyp på naturligt näringsrika sandjordar och är placerad högst upp i Skogsstyrelsens värdepyramid för bedömning av skog med höga naturvärden. Den tål inte slutavverkning eller kraftig gallring och är endast påträffad i områden som har långvarig skogskontinuitet med gran. Bombmurkla är fridlyst enligt 8 § artskyddsförordningen, omfattas av åtgärdsprogram för hotade arter (ÅGP) och är globalt rödlistad som nära hotad (NT). Sverige har ojämförligt flest växtplatser kvar av den europeiska populationen, vilket medför att vårt land har ett internationellt ansvar för artens fortlevnad (IUCN, 2024; SLU Artdatabanken, 2024; Nitare &amp; Skogsstyrelsen, 2019; Naturvårdsverket, 2010).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