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5455-2025 i Knivsta kommun</w:t>
      </w:r>
    </w:p>
    <w:p>
      <w:r>
        <w:t>Denna tillsynsbegäran behandlar höga naturvärden i avverkningsanmälan A 5455-2025 i Knivsta kommun som inkom 2025-02-05 och omfattar 17,1 ha.</w:t>
      </w:r>
    </w:p>
    <w:p>
      <w:pPr>
        <w:pStyle w:val="Caption"/>
      </w:pPr>
      <w:r>
        <w:drawing>
          <wp:inline xmlns:a="http://schemas.openxmlformats.org/drawingml/2006/main" xmlns:pic="http://schemas.openxmlformats.org/drawingml/2006/picture">
            <wp:extent cx="4819175" cy="5724000"/>
            <wp:docPr id="1" name="Picture 1"/>
            <wp:cNvGraphicFramePr>
              <a:graphicFrameLocks noChangeAspect="1"/>
            </wp:cNvGraphicFramePr>
            <a:graphic>
              <a:graphicData uri="http://schemas.openxmlformats.org/drawingml/2006/picture">
                <pic:pic>
                  <pic:nvPicPr>
                    <pic:cNvPr id="0" name="A 5455-2025 karta.png"/>
                    <pic:cNvPicPr/>
                  </pic:nvPicPr>
                  <pic:blipFill>
                    <a:blip r:embed="rId16"/>
                    <a:stretch>
                      <a:fillRect/>
                    </a:stretch>
                  </pic:blipFill>
                  <pic:spPr>
                    <a:xfrm>
                      <a:off x="0" y="0"/>
                      <a:ext cx="4819175"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6629531, E 657536 i SWEREF 99 TM.</w:t>
      </w:r>
    </w:p>
    <w:p>
      <w:r>
        <w:t>I och inom 23 meter från avverkningsanmälan finns fynd av 34 naturvårdsarter, varav 12 är rödlistade, 3 är fridlysta, 22 är typiska (T) och 18 är signalarter (S): blackticka (VU), fyrflikig jordstjärna (NT, T), grönhjon (NT), kötticka (NT), rosenticka (NT, T), rynkskinn (NT, T), tallticka (NT, T), ullticka (NT, T), vedtrappmossa (NT, T), vitplätt (NT), vågticka (NT), Porodaedalea chrysoloma (DD), björksplintborre (S), blodticka (S, T), blåmossa (S, T), brandticka (S), bronshjon (S, T), granbarkgnagare (S, T), grön sköldmossa (S, T, §8), grönpyrola (S, T), mindre märgborre (S, T), noshornsoxe (S), nästlav (S, T), rödgul trumpetsvamp (S), stubbspretmossa (S, T), thomsons trägnagare (S), trådticka (S, T), vanlig rörsvepemossa (S, T), vedticka (S, T), vågbandad barkbock (S), blåsippa (T, §9), kransmossa (T), spillkråka (T, §4) och timmerticka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i/>
        </w:rPr>
        <w:t>Porodaedalea chrysoloma (DD)</w:t>
      </w:r>
      <w:r>
        <w:t xml:space="preserve"> förekommer främst i äldre skogar med naturskogskaraktär och är en god signalart för skyddsvärda granskogsmiljöer. Den bedöms ha minskat starkt under senare år på grund av skogsavverkningar, då den framför allt växer i äldre grannaturskog med långvarig grankontinuitet. Det som tidigare inbegripit grantickan har visat sig röra sig om två arter; tajgagranticka </w:t>
      </w:r>
      <w:r>
        <w:rPr>
          <w:i/>
        </w:rPr>
        <w:t>Porodaedalea abietis</w:t>
      </w:r>
      <w:r>
        <w:t xml:space="preserve"> (LC) och </w:t>
      </w:r>
      <w:r>
        <w:rPr>
          <w:i/>
        </w:rPr>
        <w:t>Porodaedalea chrysoloma</w:t>
      </w:r>
      <w:r>
        <w:t xml:space="preserve"> </w:t>
      </w:r>
      <w:r>
        <w:rPr>
          <w:i/>
        </w:rPr>
        <w:t>(DD)</w:t>
      </w:r>
      <w:r>
        <w:t xml:space="preserve">. Den nordligare arten, tajgagranticka, bildar större fruktkroppar och har sin främsta förekomst i norra Sverige, medan den mer tunnköttiga arten, </w:t>
      </w:r>
      <w:r>
        <w:rPr>
          <w:i/>
        </w:rPr>
        <w:t>P. chrysoloma</w:t>
      </w:r>
      <w:r>
        <w:t xml:space="preserve">, förekommer i sydöstra Sverige och på Gotland. Faktaunderlaget för </w:t>
      </w:r>
      <w:r>
        <w:rPr>
          <w:i/>
        </w:rPr>
        <w:t>P. chrysoloma</w:t>
      </w:r>
      <w:r>
        <w:t xml:space="preserve"> bedöms vara otillräckligt för att avgöra vilken av de olika rödlistningskategorierna som är mest trolig (SLU Artdatabanken, 2026;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Vanlig rörsvepemossa </w:t>
      </w:r>
      <w:r>
        <w:t xml:space="preserve">signalerar överallt skog med höga naturvärden och indikerar bestånd som haft kontinuerligt god tillgång på murken ved, konstant hög luftfuktighet och beskuggad näringsrik mark. Där den växer finns oftast en rad andra rödlistade och skyddsvärda mossor. Arten är känslig för större avverkningar men tål ofta plockhuggning som bevarar ett tätare trädskikt. Vanlig rörsvepemossa är typisk art för </w:t>
      </w:r>
      <w:r>
        <w:rPr>
          <w:i/>
        </w:rPr>
        <w:t xml:space="preserve">9080 Lövsumpskog </w:t>
      </w:r>
      <w:r>
        <w:t xml:space="preserve">och </w:t>
      </w:r>
      <w:r>
        <w:rPr>
          <w:i/>
        </w:rPr>
        <w:t>9750 Svämlövskog</w:t>
      </w:r>
      <w:r>
        <w:t xml:space="preserve"> (Nitare &amp; Skogsstyrelsen, 2019;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fyrflikig jordstjärna (NT, T), rosenticka (NT, T), rynkskinn (NT, T), tallticka (NT, T), ullticka (NT, T), vedtrappmossa (NT, T), blodticka (S, T), blåmossa (S, T), bronshjon (S, T), granbarkgnagare (S, T), grön sköldmossa (S, T, §8), grönpyrola (S, T), mindre märgborre (S, T), nästlav (S, T), stubbspretmossa (S, T), trådticka (S, T), vanlig rörsvepemossa (S, T), vedticka (S, T), blåsippa (T, §9), kransmossa (T), spillkråka (T, §4) och timmerticka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