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7444-2023 i Knivsta kommun</w:t>
      </w:r>
    </w:p>
    <w:p>
      <w:r>
        <w:t>Denna tillsynsbegäran behandlar höga naturvärden i avverkningsanmälan A 7444-2023 i Knivsta kommun som inkom 2023-02-14 och omfattar 0,7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A 7444-2023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6634270, E 662933 i SWEREF 99 TM.</w:t>
      </w:r>
    </w:p>
    <w:p>
      <w:r>
        <w:t>I och inom 25 meter från avverkningsanmälan finns fynd av 18 naturvårdsarter, varav 9 är rödlistade, 13 är typiska (T) och 9 är signalarter (S): apelticka (VU), aspfjädermossa (VU, T), kärnticka (VU, T), Blastenia relicta (NT), grönhjon (NT), kandelabersvamp (NT, T), koralltaggsvamp (NT, T), lunglav (NT, T), ullticka (NT, T), bronshjon (S, T), bårdlav (S, T), dvärgtufs (S), granbarkgnagare (S, T), platt fjädermossa (S, T), rävticka (S, T), stekelbock (S, T), stor aspticka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kärnticka (VU, T), kandelabersvamp (NT, T), koralltaggsvamp (NT, T), lunglav (NT, T), ullticka (NT, T), bronshjon (S, T), bårdlav (S, T), granbarkgnagare (S, T), platt fjädermossa (S, T), rävticka (S, T), stekelbock (S,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